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229235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99"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68580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3"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88900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1" w:lineRule="exact"/>
        <w:rPr>
          <w:sz w:val="24"/>
          <w:szCs w:val="24"/>
          <w:color w:val="auto"/>
        </w:rPr>
      </w:pPr>
    </w:p>
    <w:p>
      <w:pPr>
        <w:ind w:left="10"/>
        <w:spacing w:after="0"/>
        <w:rPr>
          <w:sz w:val="20"/>
          <w:szCs w:val="20"/>
          <w:color w:val="auto"/>
        </w:rPr>
      </w:pPr>
      <w:r>
        <w:rPr>
          <w:rFonts w:ascii="Arial" w:cs="Arial" w:eastAsia="Arial" w:hAnsi="Arial"/>
          <w:sz w:val="16"/>
          <w:szCs w:val="16"/>
          <w:b w:val="1"/>
          <w:bCs w:val="1"/>
          <w:color w:val="auto"/>
        </w:rPr>
        <w:t>(Mark One)</w:t>
      </w:r>
    </w:p>
    <w:p>
      <w:pPr>
        <w:spacing w:after="0" w:line="41" w:lineRule="exact"/>
        <w:rPr>
          <w:sz w:val="24"/>
          <w:szCs w:val="24"/>
          <w:color w:val="auto"/>
        </w:rPr>
      </w:pPr>
    </w:p>
    <w:p>
      <w:pPr>
        <w:ind w:left="510" w:hanging="510"/>
        <w:spacing w:after="0"/>
        <w:tabs>
          <w:tab w:leader="none" w:pos="51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5" w:lineRule="exact"/>
        <w:rPr>
          <w:rFonts w:ascii="MS PGothic" w:cs="MS PGothic" w:eastAsia="MS PGothic" w:hAnsi="MS PGothic"/>
          <w:sz w:val="18"/>
          <w:szCs w:val="18"/>
          <w:color w:val="auto"/>
        </w:rPr>
      </w:pPr>
    </w:p>
    <w:p>
      <w:pPr>
        <w:ind w:left="359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-249555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41" w:lineRule="exact"/>
        <w:rPr>
          <w:sz w:val="24"/>
          <w:szCs w:val="24"/>
          <w:color w:val="auto"/>
        </w:rPr>
      </w:pPr>
    </w:p>
    <w:p>
      <w:pPr>
        <w:ind w:left="510" w:hanging="510"/>
        <w:spacing w:after="0"/>
        <w:tabs>
          <w:tab w:leader="none" w:pos="51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tbl>
      <w:tblPr>
        <w:tblLayout w:type="fixed"/>
        <w:tblInd w:w="3130" w:type="dxa"/>
        <w:tblCellMar>
          <w:top w:w="0" w:type="dxa"/>
          <w:left w:w="0" w:type="dxa"/>
          <w:bottom w:w="0" w:type="dxa"/>
          <w:right w:w="0" w:type="dxa"/>
        </w:tblCellMar>
      </w:tblPr>
      <w:tr>
        <w:trPr>
          <w:trHeight w:val="184"/>
        </w:trPr>
        <w:tc>
          <w:tcPr>
            <w:tcW w:w="2100" w:type="dxa"/>
            <w:vAlign w:val="bottom"/>
          </w:tcPr>
          <w:p>
            <w:pPr>
              <w:spacing w:after="0"/>
              <w:rPr>
                <w:sz w:val="20"/>
                <w:szCs w:val="20"/>
                <w:color w:val="auto"/>
              </w:rPr>
            </w:pPr>
            <w:r>
              <w:rPr>
                <w:rFonts w:ascii="Arial" w:cs="Arial" w:eastAsia="Arial" w:hAnsi="Arial"/>
                <w:sz w:val="16"/>
                <w:szCs w:val="16"/>
                <w:b w:val="1"/>
                <w:bCs w:val="1"/>
                <w:color w:val="auto"/>
                <w:w w:val="92"/>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840" w:type="dxa"/>
            <w:vAlign w:val="bottom"/>
            <w:tcBorders>
              <w:bottom w:val="single" w:sz="8" w:color="auto"/>
            </w:tcBorders>
          </w:tcPr>
          <w:p>
            <w:pPr>
              <w:spacing w:after="0"/>
              <w:rPr>
                <w:sz w:val="16"/>
                <w:szCs w:val="16"/>
                <w:color w:val="auto"/>
              </w:rPr>
            </w:pPr>
          </w:p>
        </w:tc>
      </w:tr>
      <w:tr>
        <w:trPr>
          <w:trHeight w:val="231"/>
        </w:trPr>
        <w:tc>
          <w:tcPr>
            <w:tcW w:w="3960" w:type="dxa"/>
            <w:vAlign w:val="bottom"/>
            <w:gridSpan w:val="4"/>
          </w:tcPr>
          <w:p>
            <w:pPr>
              <w:ind w:left="760"/>
              <w:spacing w:after="0"/>
              <w:rPr>
                <w:sz w:val="20"/>
                <w:szCs w:val="20"/>
                <w:color w:val="auto"/>
              </w:rPr>
            </w:pPr>
            <w:r>
              <w:rPr>
                <w:rFonts w:ascii="Arial" w:cs="Arial" w:eastAsia="Arial" w:hAnsi="Arial"/>
                <w:sz w:val="16"/>
                <w:szCs w:val="16"/>
                <w:b w:val="1"/>
                <w:bCs w:val="1"/>
                <w:color w:val="auto"/>
              </w:rPr>
              <w:t>Commission file number 001-36554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72390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79"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Ocular Therapeutix, Inc.</w:t>
      </w:r>
    </w:p>
    <w:p>
      <w:pPr>
        <w:spacing w:after="0" w:line="3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77470</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37" w:lineRule="exact"/>
        <w:rPr>
          <w:sz w:val="24"/>
          <w:szCs w:val="24"/>
          <w:color w:val="auto"/>
        </w:rPr>
      </w:pPr>
    </w:p>
    <w:tbl>
      <w:tblPr>
        <w:tblLayout w:type="fixed"/>
        <w:tblInd w:w="1290" w:type="dxa"/>
        <w:tblCellMar>
          <w:top w:w="0" w:type="dxa"/>
          <w:left w:w="0" w:type="dxa"/>
          <w:bottom w:w="0" w:type="dxa"/>
          <w:right w:w="0" w:type="dxa"/>
        </w:tblCellMar>
      </w:tblPr>
      <w:tr>
        <w:trPr>
          <w:trHeight w:val="194"/>
        </w:trPr>
        <w:tc>
          <w:tcPr>
            <w:tcW w:w="5840" w:type="dxa"/>
            <w:vAlign w:val="bottom"/>
          </w:tcPr>
          <w:p>
            <w:pPr>
              <w:jc w:val="center"/>
              <w:ind w:right="3363"/>
              <w:spacing w:after="0"/>
              <w:rPr>
                <w:sz w:val="20"/>
                <w:szCs w:val="20"/>
                <w:color w:val="auto"/>
              </w:rPr>
            </w:pPr>
            <w:r>
              <w:rPr>
                <w:rFonts w:ascii="Arial" w:cs="Arial" w:eastAsia="Arial" w:hAnsi="Arial"/>
                <w:sz w:val="16"/>
                <w:szCs w:val="16"/>
                <w:b w:val="1"/>
                <w:bCs w:val="1"/>
                <w:color w:val="auto"/>
                <w:w w:val="91"/>
              </w:rPr>
              <w:t>Delaware</w:t>
            </w:r>
          </w:p>
        </w:tc>
        <w:tc>
          <w:tcPr>
            <w:tcW w:w="1180" w:type="dxa"/>
            <w:vAlign w:val="bottom"/>
          </w:tcPr>
          <w:p>
            <w:pPr>
              <w:jc w:val="right"/>
              <w:ind w:right="104"/>
              <w:spacing w:after="0"/>
              <w:rPr>
                <w:sz w:val="20"/>
                <w:szCs w:val="20"/>
                <w:color w:val="auto"/>
              </w:rPr>
            </w:pPr>
            <w:r>
              <w:rPr>
                <w:rFonts w:ascii="Arial" w:cs="Arial" w:eastAsia="Arial" w:hAnsi="Arial"/>
                <w:sz w:val="16"/>
                <w:szCs w:val="16"/>
                <w:b w:val="1"/>
                <w:bCs w:val="1"/>
                <w:color w:val="auto"/>
              </w:rPr>
              <w:t>20-5560161</w:t>
            </w:r>
          </w:p>
        </w:tc>
      </w:tr>
      <w:tr>
        <w:trPr>
          <w:trHeight w:val="148"/>
        </w:trPr>
        <w:tc>
          <w:tcPr>
            <w:tcW w:w="5840" w:type="dxa"/>
            <w:vAlign w:val="bottom"/>
          </w:tcPr>
          <w:p>
            <w:pPr>
              <w:jc w:val="center"/>
              <w:ind w:right="336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840" w:type="dxa"/>
            <w:vAlign w:val="bottom"/>
          </w:tcPr>
          <w:p>
            <w:pPr>
              <w:jc w:val="center"/>
              <w:ind w:right="3363"/>
              <w:spacing w:after="0"/>
              <w:rPr>
                <w:sz w:val="20"/>
                <w:szCs w:val="20"/>
                <w:color w:val="auto"/>
              </w:rPr>
            </w:pPr>
            <w:r>
              <w:rPr>
                <w:rFonts w:ascii="Arial" w:cs="Arial" w:eastAsia="Arial" w:hAnsi="Arial"/>
                <w:sz w:val="14"/>
                <w:szCs w:val="14"/>
                <w:b w:val="1"/>
                <w:bCs w:val="1"/>
                <w:color w:val="auto"/>
                <w:w w:val="94"/>
              </w:rPr>
              <w:t>incorporation or organization)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82"/>
        </w:trPr>
        <w:tc>
          <w:tcPr>
            <w:tcW w:w="5840" w:type="dxa"/>
            <w:vAlign w:val="bottom"/>
          </w:tcPr>
          <w:p>
            <w:pPr>
              <w:jc w:val="center"/>
              <w:ind w:right="3363"/>
              <w:spacing w:after="0"/>
              <w:rPr>
                <w:sz w:val="20"/>
                <w:szCs w:val="20"/>
                <w:color w:val="auto"/>
              </w:rPr>
            </w:pPr>
            <w:r>
              <w:rPr>
                <w:rFonts w:ascii="Arial" w:cs="Arial" w:eastAsia="Arial" w:hAnsi="Arial"/>
                <w:sz w:val="16"/>
                <w:szCs w:val="16"/>
                <w:b w:val="1"/>
                <w:bCs w:val="1"/>
                <w:color w:val="auto"/>
                <w:w w:val="91"/>
              </w:rPr>
              <w:t>24 Crosby Drive</w:t>
            </w:r>
          </w:p>
        </w:tc>
        <w:tc>
          <w:tcPr>
            <w:tcW w:w="1180" w:type="dxa"/>
            <w:vAlign w:val="bottom"/>
          </w:tcPr>
          <w:p>
            <w:pPr>
              <w:spacing w:after="0"/>
              <w:rPr>
                <w:sz w:val="24"/>
                <w:szCs w:val="24"/>
                <w:color w:val="auto"/>
              </w:rPr>
            </w:pPr>
          </w:p>
        </w:tc>
      </w:tr>
      <w:tr>
        <w:trPr>
          <w:trHeight w:val="194"/>
        </w:trPr>
        <w:tc>
          <w:tcPr>
            <w:tcW w:w="5840" w:type="dxa"/>
            <w:vAlign w:val="bottom"/>
          </w:tcPr>
          <w:p>
            <w:pPr>
              <w:jc w:val="center"/>
              <w:ind w:right="3363"/>
              <w:spacing w:after="0"/>
              <w:rPr>
                <w:sz w:val="20"/>
                <w:szCs w:val="20"/>
                <w:color w:val="auto"/>
              </w:rPr>
            </w:pPr>
            <w:r>
              <w:rPr>
                <w:rFonts w:ascii="Arial" w:cs="Arial" w:eastAsia="Arial" w:hAnsi="Arial"/>
                <w:sz w:val="16"/>
                <w:szCs w:val="16"/>
                <w:b w:val="1"/>
                <w:bCs w:val="1"/>
                <w:color w:val="auto"/>
                <w:w w:val="96"/>
              </w:rPr>
              <w:t>Bedford, MA</w:t>
            </w:r>
          </w:p>
        </w:tc>
        <w:tc>
          <w:tcPr>
            <w:tcW w:w="1180" w:type="dxa"/>
            <w:vAlign w:val="bottom"/>
          </w:tcPr>
          <w:p>
            <w:pPr>
              <w:jc w:val="right"/>
              <w:ind w:right="284"/>
              <w:spacing w:after="0"/>
              <w:rPr>
                <w:sz w:val="20"/>
                <w:szCs w:val="20"/>
                <w:color w:val="auto"/>
              </w:rPr>
            </w:pPr>
            <w:r>
              <w:rPr>
                <w:rFonts w:ascii="Arial" w:cs="Arial" w:eastAsia="Arial" w:hAnsi="Arial"/>
                <w:sz w:val="16"/>
                <w:szCs w:val="16"/>
                <w:b w:val="1"/>
                <w:bCs w:val="1"/>
                <w:color w:val="auto"/>
              </w:rPr>
              <w:t>01730</w:t>
            </w:r>
          </w:p>
        </w:tc>
      </w:tr>
      <w:tr>
        <w:trPr>
          <w:trHeight w:val="186"/>
        </w:trPr>
        <w:tc>
          <w:tcPr>
            <w:tcW w:w="5840" w:type="dxa"/>
            <w:vAlign w:val="bottom"/>
          </w:tcPr>
          <w:p>
            <w:pPr>
              <w:jc w:val="center"/>
              <w:ind w:right="338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5840" w:type="dxa"/>
            <w:vAlign w:val="bottom"/>
          </w:tcPr>
          <w:p>
            <w:pPr>
              <w:jc w:val="center"/>
              <w:ind w:left="1743"/>
              <w:spacing w:after="0"/>
              <w:rPr>
                <w:sz w:val="20"/>
                <w:szCs w:val="20"/>
                <w:color w:val="auto"/>
              </w:rPr>
            </w:pPr>
            <w:r>
              <w:rPr>
                <w:rFonts w:ascii="Arial" w:cs="Arial" w:eastAsia="Arial" w:hAnsi="Arial"/>
                <w:sz w:val="16"/>
                <w:szCs w:val="16"/>
                <w:b w:val="1"/>
                <w:bCs w:val="1"/>
                <w:color w:val="auto"/>
                <w:w w:val="93"/>
              </w:rPr>
              <w:t>(781) 357-4000</w:t>
            </w:r>
          </w:p>
        </w:tc>
        <w:tc>
          <w:tcPr>
            <w:tcW w:w="1180" w:type="dxa"/>
            <w:vAlign w:val="bottom"/>
          </w:tcPr>
          <w:p>
            <w:pPr>
              <w:spacing w:after="0"/>
              <w:rPr>
                <w:sz w:val="21"/>
                <w:szCs w:val="21"/>
                <w:color w:val="auto"/>
              </w:rPr>
            </w:pPr>
          </w:p>
        </w:tc>
      </w:tr>
      <w:tr>
        <w:trPr>
          <w:trHeight w:val="157"/>
        </w:trPr>
        <w:tc>
          <w:tcPr>
            <w:tcW w:w="5840" w:type="dxa"/>
            <w:vAlign w:val="bottom"/>
          </w:tcPr>
          <w:p>
            <w:pPr>
              <w:jc w:val="center"/>
              <w:ind w:left="1723"/>
              <w:spacing w:after="0" w:line="157"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1180" w:type="dxa"/>
            <w:vAlign w:val="bottom"/>
          </w:tcPr>
          <w:p>
            <w:pPr>
              <w:spacing w:after="0"/>
              <w:rPr>
                <w:sz w:val="13"/>
                <w:szCs w:val="13"/>
                <w:color w:val="auto"/>
              </w:rPr>
            </w:pPr>
          </w:p>
        </w:tc>
      </w:tr>
      <w:tr>
        <w:trPr>
          <w:trHeight w:val="210"/>
        </w:trPr>
        <w:tc>
          <w:tcPr>
            <w:tcW w:w="5840" w:type="dxa"/>
            <w:vAlign w:val="bottom"/>
          </w:tcPr>
          <w:p>
            <w:pPr>
              <w:jc w:val="center"/>
              <w:ind w:left="1723"/>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180" w:type="dxa"/>
            <w:vAlign w:val="bottom"/>
          </w:tcPr>
          <w:p>
            <w:pPr>
              <w:spacing w:after="0"/>
              <w:rPr>
                <w:sz w:val="18"/>
                <w:szCs w:val="18"/>
                <w:color w:val="auto"/>
              </w:rPr>
            </w:pPr>
          </w:p>
        </w:tc>
      </w:tr>
    </w:tbl>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4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w:t>
            </w:r>
          </w:p>
        </w:tc>
        <w:tc>
          <w:tcPr>
            <w:tcW w:w="380" w:type="dxa"/>
            <w:vAlign w:val="bottom"/>
          </w:tcPr>
          <w:p>
            <w:pPr>
              <w:spacing w:after="0"/>
              <w:rPr>
                <w:sz w:val="14"/>
                <w:szCs w:val="14"/>
                <w:color w:val="auto"/>
              </w:rPr>
            </w:pPr>
          </w:p>
        </w:tc>
        <w:tc>
          <w:tcPr>
            <w:tcW w:w="3840" w:type="dxa"/>
            <w:vAlign w:val="bottom"/>
            <w:gridSpan w:val="3"/>
          </w:tcPr>
          <w:p>
            <w:pPr>
              <w:ind w:left="4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43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1"/>
              </w:rPr>
              <w:t>Common Stock, $0.0001 par value per share</w:t>
            </w:r>
          </w:p>
        </w:tc>
        <w:tc>
          <w:tcPr>
            <w:tcW w:w="140" w:type="dxa"/>
            <w:vAlign w:val="bottom"/>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OCUL</w:t>
            </w:r>
          </w:p>
        </w:tc>
        <w:tc>
          <w:tcPr>
            <w:tcW w:w="1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840" w:type="dxa"/>
            <w:vAlign w:val="bottom"/>
            <w:tcBorders>
              <w:top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rPr>
              <w:t>Nasdaq Global Market</w:t>
            </w:r>
          </w:p>
        </w:tc>
        <w:tc>
          <w:tcPr>
            <w:tcW w:w="0" w:type="dxa"/>
            <w:vAlign w:val="bottom"/>
          </w:tcPr>
          <w:p>
            <w:pPr>
              <w:spacing w:after="0"/>
              <w:rPr>
                <w:sz w:val="1"/>
                <w:szCs w:val="1"/>
                <w:color w:val="auto"/>
              </w:rPr>
            </w:pPr>
          </w:p>
        </w:tc>
      </w:tr>
      <w:tr>
        <w:trPr>
          <w:trHeight w:val="270"/>
        </w:trPr>
        <w:tc>
          <w:tcPr>
            <w:tcW w:w="8080" w:type="dxa"/>
            <w:vAlign w:val="bottom"/>
            <w:gridSpan w:val="7"/>
          </w:tcPr>
          <w:p>
            <w:pPr>
              <w:ind w:left="2920"/>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3820" w:type="dxa"/>
            <w:vAlign w:val="bottom"/>
          </w:tcPr>
          <w:p>
            <w:pPr>
              <w:spacing w:after="0"/>
              <w:rPr>
                <w:sz w:val="9"/>
                <w:szCs w:val="9"/>
                <w:color w:val="auto"/>
              </w:rPr>
            </w:pPr>
          </w:p>
        </w:tc>
        <w:tc>
          <w:tcPr>
            <w:tcW w:w="2560" w:type="dxa"/>
            <w:vAlign w:val="bottom"/>
            <w:tcBorders>
              <w:bottom w:val="single" w:sz="8" w:color="auto"/>
            </w:tcBorders>
            <w:gridSpan w:val="5"/>
          </w:tcPr>
          <w:p>
            <w:pPr>
              <w:spacing w:after="0"/>
              <w:rPr>
                <w:sz w:val="9"/>
                <w:szCs w:val="9"/>
                <w:color w:val="auto"/>
              </w:rPr>
            </w:pPr>
          </w:p>
        </w:tc>
        <w:tc>
          <w:tcPr>
            <w:tcW w:w="1700" w:type="dxa"/>
            <w:vAlign w:val="bottom"/>
          </w:tcPr>
          <w:p>
            <w:pPr>
              <w:spacing w:after="0"/>
              <w:rPr>
                <w:sz w:val="9"/>
                <w:szCs w:val="9"/>
                <w:color w:val="auto"/>
              </w:rPr>
            </w:pPr>
          </w:p>
        </w:tc>
        <w:tc>
          <w:tcPr>
            <w:tcW w:w="660" w:type="dxa"/>
            <w:vAlign w:val="bottom"/>
            <w:vMerge w:val="restart"/>
          </w:tcPr>
          <w:p>
            <w:pPr>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w:t>
            </w:r>
          </w:p>
        </w:tc>
        <w:tc>
          <w:tcPr>
            <w:tcW w:w="1480" w:type="dxa"/>
            <w:vAlign w:val="bottom"/>
            <w:vMerge w:val="restart"/>
          </w:tcPr>
          <w:p>
            <w:pPr>
              <w:ind w:left="40"/>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r>
        <w:trPr>
          <w:trHeight w:val="302"/>
        </w:trPr>
        <w:tc>
          <w:tcPr>
            <w:tcW w:w="8080" w:type="dxa"/>
            <w:vAlign w:val="bottom"/>
            <w:gridSpan w:val="7"/>
          </w:tcPr>
          <w:p>
            <w:pPr>
              <w:ind w:left="32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80" w:type="dxa"/>
            <w:vAlign w:val="bottom"/>
            <w:gridSpan w:val="7"/>
          </w:tcPr>
          <w:p>
            <w:pPr>
              <w:ind w:left="32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60" w:type="dxa"/>
            <w:vAlign w:val="bottom"/>
          </w:tcPr>
          <w:p>
            <w:pPr>
              <w:ind w:left="140"/>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w:t>
            </w:r>
          </w:p>
        </w:tc>
        <w:tc>
          <w:tcPr>
            <w:tcW w:w="1480" w:type="dxa"/>
            <w:vAlign w:val="bottom"/>
          </w:tcPr>
          <w:p>
            <w:pPr>
              <w:ind w:left="100"/>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 w:right="6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33" w:lineRule="exact"/>
        <w:rPr>
          <w:sz w:val="24"/>
          <w:szCs w:val="24"/>
          <w:color w:val="auto"/>
        </w:rPr>
      </w:pPr>
    </w:p>
    <w:p>
      <w:pPr>
        <w:ind w:left="10" w:right="8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33" w:lineRule="exact"/>
        <w:rPr>
          <w:sz w:val="24"/>
          <w:szCs w:val="24"/>
          <w:color w:val="auto"/>
        </w:rPr>
      </w:pPr>
    </w:p>
    <w:p>
      <w:pPr>
        <w:jc w:val="both"/>
        <w:ind w:left="10" w:right="2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1560" w:type="dxa"/>
            <w:vAlign w:val="bottom"/>
          </w:tcPr>
          <w:p>
            <w:pPr>
              <w:spacing w:after="0"/>
              <w:rPr>
                <w:sz w:val="20"/>
                <w:szCs w:val="20"/>
                <w:color w:val="auto"/>
              </w:rPr>
            </w:pPr>
            <w:r>
              <w:rPr>
                <w:rFonts w:ascii="Arial" w:cs="Arial" w:eastAsia="Arial" w:hAnsi="Arial"/>
                <w:sz w:val="16"/>
                <w:szCs w:val="16"/>
                <w:color w:val="auto"/>
                <w:w w:val="97"/>
              </w:rPr>
              <w:t>Large accelerated filer</w:t>
            </w:r>
          </w:p>
        </w:tc>
        <w:tc>
          <w:tcPr>
            <w:tcW w:w="33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5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5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5020" w:type="dxa"/>
            <w:vAlign w:val="bottom"/>
          </w:tcPr>
          <w:p>
            <w:pPr>
              <w:ind w:left="3080"/>
              <w:spacing w:after="0"/>
              <w:rPr>
                <w:sz w:val="20"/>
                <w:szCs w:val="20"/>
                <w:color w:val="auto"/>
              </w:rPr>
            </w:pPr>
            <w:r>
              <w:rPr>
                <w:rFonts w:ascii="Arial" w:cs="Arial" w:eastAsia="Arial" w:hAnsi="Arial"/>
                <w:sz w:val="16"/>
                <w:szCs w:val="16"/>
                <w:color w:val="auto"/>
              </w:rPr>
              <w:t>Emerging growth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0" w:lineRule="exact"/>
        <w:rPr>
          <w:sz w:val="24"/>
          <w:szCs w:val="24"/>
          <w:color w:val="auto"/>
        </w:rPr>
      </w:pPr>
    </w:p>
    <w:p>
      <w:pPr>
        <w:ind w:left="10" w:right="240" w:firstLine="33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32" w:lineRule="exact"/>
        <w:rPr>
          <w:sz w:val="24"/>
          <w:szCs w:val="24"/>
          <w:color w:val="auto"/>
        </w:rPr>
      </w:pPr>
    </w:p>
    <w:p>
      <w:pPr>
        <w:ind w:left="10" w:right="160" w:firstLine="33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3" w:lineRule="exact"/>
        <w:rPr>
          <w:sz w:val="24"/>
          <w:szCs w:val="24"/>
          <w:color w:val="auto"/>
        </w:rPr>
      </w:pPr>
    </w:p>
    <w:p>
      <w:pPr>
        <w:ind w:left="330"/>
        <w:spacing w:after="0" w:line="215" w:lineRule="exact"/>
        <w:tabs>
          <w:tab w:leader="none" w:pos="783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Unicode MS" w:cs="Arial Unicode MS" w:eastAsia="Arial Unicode MS" w:hAnsi="Arial Unicode MS"/>
          <w:sz w:val="16"/>
          <w:szCs w:val="16"/>
          <w:color w:val="auto"/>
        </w:rPr>
        <w:t xml:space="preserve">☐ </w:t>
      </w:r>
      <w:r>
        <w:rPr>
          <w:rFonts w:ascii="Arial" w:cs="Arial" w:eastAsia="Arial" w:hAnsi="Arial"/>
          <w:sz w:val="16"/>
          <w:szCs w:val="16"/>
          <w:color w:val="auto"/>
        </w:rPr>
        <w:t>Yes</w:t>
      </w:r>
      <w:r>
        <w:rPr>
          <w:rFonts w:ascii="Arial Unicode MS" w:cs="Arial Unicode MS" w:eastAsia="Arial Unicode MS" w:hAnsi="Arial Unicode MS"/>
          <w:sz w:val="16"/>
          <w:szCs w:val="16"/>
          <w:color w:val="auto"/>
        </w:rPr>
        <w:t xml:space="preserve">  ☒ </w:t>
      </w:r>
      <w:r>
        <w:rPr>
          <w:rFonts w:ascii="Arial" w:cs="Arial" w:eastAsia="Arial" w:hAnsi="Arial"/>
          <w:sz w:val="16"/>
          <w:szCs w:val="16"/>
          <w:color w:val="auto"/>
        </w:rPr>
        <w:t>No</w:t>
      </w:r>
    </w:p>
    <w:p>
      <w:pPr>
        <w:spacing w:after="0" w:line="72" w:lineRule="exact"/>
        <w:rPr>
          <w:sz w:val="24"/>
          <w:szCs w:val="24"/>
          <w:color w:val="auto"/>
        </w:rPr>
      </w:pPr>
    </w:p>
    <w:p>
      <w:pPr>
        <w:ind w:left="10" w:right="60" w:firstLine="330"/>
        <w:spacing w:after="0" w:line="293" w:lineRule="auto"/>
        <w:rPr>
          <w:sz w:val="20"/>
          <w:szCs w:val="20"/>
          <w:color w:val="auto"/>
        </w:rPr>
      </w:pPr>
      <w:r>
        <w:rPr>
          <w:rFonts w:ascii="Arial" w:cs="Arial" w:eastAsia="Arial" w:hAnsi="Arial"/>
          <w:sz w:val="16"/>
          <w:szCs w:val="16"/>
          <w:color w:val="auto"/>
        </w:rPr>
        <w:t>As of June 30, 2020, the aggregate market value of the voting and non-voting common equity held by non-affiliates of the registrant was approximately $478 million. The number of shares outstanding of the registrant’s class of common stock, as of March 1, 2021: 76,069,673.</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6" w:lineRule="exact"/>
        <w:rPr>
          <w:sz w:val="24"/>
          <w:szCs w:val="24"/>
          <w:color w:val="auto"/>
        </w:rPr>
      </w:pPr>
    </w:p>
    <w:p>
      <w:pPr>
        <w:ind w:left="10" w:right="260" w:firstLine="324"/>
        <w:spacing w:after="0" w:line="278" w:lineRule="auto"/>
        <w:rPr>
          <w:sz w:val="20"/>
          <w:szCs w:val="20"/>
          <w:color w:val="auto"/>
        </w:rPr>
      </w:pPr>
      <w:r>
        <w:rPr>
          <w:rFonts w:ascii="Arial" w:cs="Arial" w:eastAsia="Arial" w:hAnsi="Arial"/>
          <w:sz w:val="16"/>
          <w:szCs w:val="16"/>
          <w:color w:val="auto"/>
        </w:rPr>
        <w:t>Part III of this Annual Report incorporates by reference information from the definitive Proxy Statement for the registrant’s 2021 Annual Meeting of Stockholders, which is expected to be filed with the Securities and Exchange Commission not later than 120 days after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457200</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80" w:type="dxa"/>
            <w:vAlign w:val="bottom"/>
            <w:gridSpan w:val="2"/>
          </w:tcPr>
          <w:p>
            <w:pPr>
              <w:ind w:left="18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418"/>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gridSpan w:val="2"/>
          </w:tcPr>
          <w:p>
            <w:pPr>
              <w:jc w:val="center"/>
              <w:ind w:right="1020"/>
              <w:spacing w:after="0"/>
              <w:rPr>
                <w:rFonts w:ascii="Arial" w:cs="Arial" w:eastAsia="Arial" w:hAnsi="Arial"/>
                <w:sz w:val="18"/>
                <w:szCs w:val="18"/>
                <w:b w:val="1"/>
                <w:bCs w:val="1"/>
                <w:u w:val="single" w:color="auto"/>
                <w:color w:val="0000EE"/>
                <w:w w:val="98"/>
              </w:rPr>
            </w:pPr>
            <w:hyperlink w:anchor="page6">
              <w:r>
                <w:rPr>
                  <w:rFonts w:ascii="Arial" w:cs="Arial" w:eastAsia="Arial" w:hAnsi="Arial"/>
                  <w:sz w:val="18"/>
                  <w:szCs w:val="18"/>
                  <w:b w:val="1"/>
                  <w:bCs w:val="1"/>
                  <w:u w:val="single" w:color="auto"/>
                  <w:color w:val="0000EE"/>
                  <w:w w:val="98"/>
                </w:rPr>
                <w:t>PART I</w:t>
              </w:r>
            </w:hyperlink>
          </w:p>
        </w:tc>
        <w:tc>
          <w:tcPr>
            <w:tcW w:w="560" w:type="dxa"/>
            <w:vAlign w:val="bottom"/>
          </w:tcPr>
          <w:p>
            <w:pPr>
              <w:spacing w:after="0"/>
              <w:rPr>
                <w:sz w:val="24"/>
                <w:szCs w:val="24"/>
                <w:color w:val="auto"/>
              </w:rPr>
            </w:pPr>
          </w:p>
        </w:tc>
      </w:tr>
      <w:tr>
        <w:trPr>
          <w:trHeight w:val="216"/>
        </w:trPr>
        <w:tc>
          <w:tcPr>
            <w:tcW w:w="70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00" w:type="dxa"/>
            <w:vAlign w:val="bottom"/>
          </w:tcPr>
          <w:p>
            <w:pPr>
              <w:ind w:left="20"/>
              <w:spacing w:after="0"/>
              <w:rPr>
                <w:rFonts w:ascii="Arial" w:cs="Arial" w:eastAsia="Arial" w:hAnsi="Arial"/>
                <w:sz w:val="18"/>
                <w:szCs w:val="18"/>
                <w:u w:val="single" w:color="auto"/>
                <w:color w:val="0000EE"/>
                <w:w w:val="98"/>
              </w:rPr>
            </w:pPr>
            <w:hyperlink w:anchor="page79">
              <w:r>
                <w:rPr>
                  <w:rFonts w:ascii="Arial" w:cs="Arial" w:eastAsia="Arial" w:hAnsi="Arial"/>
                  <w:sz w:val="18"/>
                  <w:szCs w:val="18"/>
                  <w:u w:val="single" w:color="auto"/>
                  <w:color w:val="0000EE"/>
                  <w:w w:val="98"/>
                </w:rPr>
                <w:t>Item 1A.</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00" w:type="dxa"/>
            <w:vAlign w:val="bottom"/>
          </w:tcPr>
          <w:p>
            <w:pPr>
              <w:ind w:left="20"/>
              <w:spacing w:after="0"/>
              <w:rPr>
                <w:rFonts w:ascii="Arial" w:cs="Arial" w:eastAsia="Arial" w:hAnsi="Arial"/>
                <w:sz w:val="18"/>
                <w:szCs w:val="18"/>
                <w:u w:val="single" w:color="auto"/>
                <w:color w:val="0000EE"/>
                <w:w w:val="98"/>
              </w:rPr>
            </w:pPr>
            <w:hyperlink w:anchor="page127">
              <w:r>
                <w:rPr>
                  <w:rFonts w:ascii="Arial" w:cs="Arial" w:eastAsia="Arial" w:hAnsi="Arial"/>
                  <w:sz w:val="18"/>
                  <w:szCs w:val="18"/>
                  <w:u w:val="single" w:color="auto"/>
                  <w:color w:val="0000EE"/>
                  <w:w w:val="98"/>
                </w:rPr>
                <w:t>Item 1B.</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Unresolved Staff Comments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00" w:type="dxa"/>
            <w:vAlign w:val="bottom"/>
          </w:tcPr>
          <w:p>
            <w:pPr>
              <w:ind w:left="2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Item 2.</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Properties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00" w:type="dxa"/>
            <w:vAlign w:val="bottom"/>
          </w:tcPr>
          <w:p>
            <w:pPr>
              <w:ind w:left="2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Item 3.</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2"/>
        </w:trPr>
        <w:tc>
          <w:tcPr>
            <w:tcW w:w="700" w:type="dxa"/>
            <w:vAlign w:val="bottom"/>
          </w:tcPr>
          <w:p>
            <w:pPr>
              <w:ind w:left="2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Item 4.</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0"/>
        </w:trPr>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80" w:type="dxa"/>
            <w:vAlign w:val="bottom"/>
            <w:gridSpan w:val="2"/>
          </w:tcPr>
          <w:p>
            <w:pPr>
              <w:jc w:val="center"/>
              <w:ind w:right="1020"/>
              <w:spacing w:after="0"/>
              <w:rPr>
                <w:rFonts w:ascii="Arial" w:cs="Arial" w:eastAsia="Arial" w:hAnsi="Arial"/>
                <w:sz w:val="18"/>
                <w:szCs w:val="18"/>
                <w:b w:val="1"/>
                <w:bCs w:val="1"/>
                <w:u w:val="single" w:color="auto"/>
                <w:color w:val="0000EE"/>
              </w:rPr>
            </w:pPr>
            <w:hyperlink w:anchor="page128">
              <w:r>
                <w:rPr>
                  <w:rFonts w:ascii="Arial" w:cs="Arial" w:eastAsia="Arial" w:hAnsi="Arial"/>
                  <w:sz w:val="18"/>
                  <w:szCs w:val="18"/>
                  <w:b w:val="1"/>
                  <w:bCs w:val="1"/>
                  <w:u w:val="single" w:color="auto"/>
                  <w:color w:val="0000EE"/>
                </w:rPr>
                <w:t>PART II</w:t>
              </w:r>
            </w:hyperlink>
          </w:p>
        </w:tc>
        <w:tc>
          <w:tcPr>
            <w:tcW w:w="560" w:type="dxa"/>
            <w:vAlign w:val="bottom"/>
          </w:tcPr>
          <w:p>
            <w:pPr>
              <w:spacing w:after="0"/>
              <w:rPr>
                <w:sz w:val="19"/>
                <w:szCs w:val="19"/>
                <w:color w:val="auto"/>
              </w:rPr>
            </w:pPr>
          </w:p>
        </w:tc>
      </w:tr>
      <w:tr>
        <w:trPr>
          <w:trHeight w:val="190"/>
        </w:trPr>
        <w:tc>
          <w:tcPr>
            <w:tcW w:w="700" w:type="dxa"/>
            <w:vAlign w:val="bottom"/>
          </w:tcPr>
          <w:p>
            <w:pPr>
              <w:ind w:left="20"/>
              <w:spacing w:after="0" w:line="190" w:lineRule="exact"/>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Item 5.</w:t>
              </w:r>
            </w:hyperlink>
          </w:p>
        </w:tc>
        <w:tc>
          <w:tcPr>
            <w:tcW w:w="7660" w:type="dxa"/>
            <w:vAlign w:val="bottom"/>
            <w:gridSpan w:val="5"/>
          </w:tcPr>
          <w:p>
            <w:pPr>
              <w:ind w:left="60"/>
              <w:spacing w:after="0" w:line="190" w:lineRule="exact"/>
              <w:rPr>
                <w:rFonts w:ascii="Arial" w:cs="Arial" w:eastAsia="Arial" w:hAnsi="Arial"/>
                <w:sz w:val="18"/>
                <w:szCs w:val="18"/>
                <w:color w:val="0000EE"/>
                <w:w w:val="94"/>
              </w:rPr>
            </w:pPr>
            <w:hyperlink w:anchor="page128">
              <w:r>
                <w:rPr>
                  <w:rFonts w:ascii="Arial" w:cs="Arial" w:eastAsia="Arial" w:hAnsi="Arial"/>
                  <w:sz w:val="18"/>
                  <w:szCs w:val="18"/>
                  <w:color w:val="0000EE"/>
                  <w:w w:val="94"/>
                </w:rPr>
                <w:t>Market for Registrant’s Common Equity, Related Stockholder Matters and Issuer Purchases of Equity</w:t>
              </w:r>
            </w:hyperlink>
          </w:p>
        </w:tc>
        <w:tc>
          <w:tcPr>
            <w:tcW w:w="56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1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Securities</w:t>
              </w:r>
            </w:hyperlink>
          </w:p>
        </w:tc>
        <w:tc>
          <w:tcPr>
            <w:tcW w:w="2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20"/>
        </w:trPr>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2"/>
        </w:trPr>
        <w:tc>
          <w:tcPr>
            <w:tcW w:w="700" w:type="dxa"/>
            <w:vAlign w:val="bottom"/>
          </w:tcPr>
          <w:p>
            <w:pPr>
              <w:ind w:left="2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Item 6.</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Selected Financial Data</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700" w:type="dxa"/>
            <w:vAlign w:val="bottom"/>
          </w:tcPr>
          <w:p>
            <w:pPr>
              <w:ind w:left="2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Item 7.</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700" w:type="dxa"/>
            <w:vAlign w:val="bottom"/>
          </w:tcPr>
          <w:p>
            <w:pPr>
              <w:ind w:left="20"/>
              <w:spacing w:after="0"/>
              <w:rPr>
                <w:rFonts w:ascii="Arial" w:cs="Arial" w:eastAsia="Arial" w:hAnsi="Arial"/>
                <w:sz w:val="18"/>
                <w:szCs w:val="18"/>
                <w:u w:val="single" w:color="auto"/>
                <w:color w:val="0000EE"/>
                <w:w w:val="98"/>
              </w:rPr>
            </w:pPr>
            <w:hyperlink w:anchor="page148">
              <w:r>
                <w:rPr>
                  <w:rFonts w:ascii="Arial" w:cs="Arial" w:eastAsia="Arial" w:hAnsi="Arial"/>
                  <w:sz w:val="18"/>
                  <w:szCs w:val="18"/>
                  <w:u w:val="single" w:color="auto"/>
                  <w:color w:val="0000EE"/>
                  <w:w w:val="98"/>
                </w:rPr>
                <w:t>Item 7A.</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700" w:type="dxa"/>
            <w:vAlign w:val="bottom"/>
          </w:tcPr>
          <w:p>
            <w:pPr>
              <w:ind w:left="2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Item 8.</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Financial Statements and Supplementary Data</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700" w:type="dxa"/>
            <w:vAlign w:val="bottom"/>
          </w:tcPr>
          <w:p>
            <w:pPr>
              <w:ind w:left="2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Item 9.</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700" w:type="dxa"/>
            <w:vAlign w:val="bottom"/>
          </w:tcPr>
          <w:p>
            <w:pPr>
              <w:ind w:left="20"/>
              <w:spacing w:after="0"/>
              <w:rPr>
                <w:rFonts w:ascii="Arial" w:cs="Arial" w:eastAsia="Arial" w:hAnsi="Arial"/>
                <w:sz w:val="18"/>
                <w:szCs w:val="18"/>
                <w:u w:val="single" w:color="auto"/>
                <w:color w:val="0000EE"/>
                <w:w w:val="98"/>
              </w:rPr>
            </w:pPr>
            <w:hyperlink w:anchor="page148">
              <w:r>
                <w:rPr>
                  <w:rFonts w:ascii="Arial" w:cs="Arial" w:eastAsia="Arial" w:hAnsi="Arial"/>
                  <w:sz w:val="18"/>
                  <w:szCs w:val="18"/>
                  <w:u w:val="single" w:color="auto"/>
                  <w:color w:val="0000EE"/>
                  <w:w w:val="98"/>
                </w:rPr>
                <w:t>Item 9A.</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2"/>
        </w:trPr>
        <w:tc>
          <w:tcPr>
            <w:tcW w:w="700" w:type="dxa"/>
            <w:vAlign w:val="bottom"/>
          </w:tcPr>
          <w:p>
            <w:pPr>
              <w:ind w:left="20"/>
              <w:spacing w:after="0"/>
              <w:rPr>
                <w:rFonts w:ascii="Arial" w:cs="Arial" w:eastAsia="Arial" w:hAnsi="Arial"/>
                <w:sz w:val="18"/>
                <w:szCs w:val="18"/>
                <w:u w:val="single" w:color="auto"/>
                <w:color w:val="0000EE"/>
                <w:w w:val="98"/>
              </w:rPr>
            </w:pPr>
            <w:hyperlink w:anchor="page149">
              <w:r>
                <w:rPr>
                  <w:rFonts w:ascii="Arial" w:cs="Arial" w:eastAsia="Arial" w:hAnsi="Arial"/>
                  <w:sz w:val="18"/>
                  <w:szCs w:val="18"/>
                  <w:u w:val="single" w:color="auto"/>
                  <w:color w:val="0000EE"/>
                  <w:w w:val="98"/>
                </w:rPr>
                <w:t>Item 9B.</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0"/>
        </w:trPr>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80" w:type="dxa"/>
            <w:vAlign w:val="bottom"/>
            <w:gridSpan w:val="2"/>
          </w:tcPr>
          <w:p>
            <w:pPr>
              <w:jc w:val="center"/>
              <w:ind w:right="1020"/>
              <w:spacing w:after="0"/>
              <w:rPr>
                <w:rFonts w:ascii="Arial" w:cs="Arial" w:eastAsia="Arial" w:hAnsi="Arial"/>
                <w:sz w:val="18"/>
                <w:szCs w:val="18"/>
                <w:b w:val="1"/>
                <w:bCs w:val="1"/>
                <w:u w:val="single" w:color="auto"/>
                <w:color w:val="0000EE"/>
              </w:rPr>
            </w:pPr>
            <w:hyperlink w:anchor="page150">
              <w:r>
                <w:rPr>
                  <w:rFonts w:ascii="Arial" w:cs="Arial" w:eastAsia="Arial" w:hAnsi="Arial"/>
                  <w:sz w:val="18"/>
                  <w:szCs w:val="18"/>
                  <w:b w:val="1"/>
                  <w:bCs w:val="1"/>
                  <w:u w:val="single" w:color="auto"/>
                  <w:color w:val="0000EE"/>
                </w:rPr>
                <w:t>PART III</w:t>
              </w:r>
            </w:hyperlink>
          </w:p>
        </w:tc>
        <w:tc>
          <w:tcPr>
            <w:tcW w:w="560" w:type="dxa"/>
            <w:vAlign w:val="bottom"/>
          </w:tcPr>
          <w:p>
            <w:pPr>
              <w:spacing w:after="0"/>
              <w:rPr>
                <w:sz w:val="19"/>
                <w:szCs w:val="19"/>
                <w:color w:val="auto"/>
              </w:rPr>
            </w:pPr>
          </w:p>
        </w:tc>
      </w:tr>
      <w:tr>
        <w:trPr>
          <w:trHeight w:val="216"/>
        </w:trPr>
        <w:tc>
          <w:tcPr>
            <w:tcW w:w="700" w:type="dxa"/>
            <w:vAlign w:val="bottom"/>
          </w:tcPr>
          <w:p>
            <w:pPr>
              <w:ind w:left="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Item 10.</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700" w:type="dxa"/>
            <w:vAlign w:val="bottom"/>
          </w:tcPr>
          <w:p>
            <w:pPr>
              <w:ind w:left="20"/>
              <w:spacing w:after="0"/>
              <w:rPr>
                <w:rFonts w:ascii="Arial" w:cs="Arial" w:eastAsia="Arial" w:hAnsi="Arial"/>
                <w:sz w:val="18"/>
                <w:szCs w:val="18"/>
                <w:color w:val="0000EE"/>
              </w:rPr>
            </w:pPr>
            <w:hyperlink w:anchor="page150">
              <w:r>
                <w:rPr>
                  <w:rFonts w:ascii="Arial" w:cs="Arial" w:eastAsia="Arial" w:hAnsi="Arial"/>
                  <w:sz w:val="18"/>
                  <w:szCs w:val="18"/>
                  <w:u w:val="single" w:color="auto"/>
                  <w:color w:val="0000EE"/>
                </w:rPr>
                <w:t>Item 11</w:t>
              </w:r>
              <w:r>
                <w:rPr>
                  <w:rFonts w:ascii="Arial" w:cs="Arial" w:eastAsia="Arial" w:hAnsi="Arial"/>
                  <w:sz w:val="18"/>
                  <w:szCs w:val="18"/>
                  <w:color w:val="0000EE"/>
                </w:rPr>
                <w:t>.</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Executive Compensation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700" w:type="dxa"/>
            <w:vAlign w:val="bottom"/>
          </w:tcPr>
          <w:p>
            <w:pPr>
              <w:ind w:left="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Item 12.</w:t>
              </w:r>
            </w:hyperlink>
          </w:p>
        </w:tc>
        <w:tc>
          <w:tcPr>
            <w:tcW w:w="7660" w:type="dxa"/>
            <w:vAlign w:val="bottom"/>
            <w:gridSpan w:val="5"/>
          </w:tcPr>
          <w:p>
            <w:pPr>
              <w:ind w:left="60"/>
              <w:spacing w:after="0"/>
              <w:rPr>
                <w:rFonts w:ascii="Arial" w:cs="Arial" w:eastAsia="Arial" w:hAnsi="Arial"/>
                <w:sz w:val="18"/>
                <w:szCs w:val="18"/>
                <w:u w:val="single" w:color="auto"/>
                <w:color w:val="0000EE"/>
                <w:w w:val="94"/>
              </w:rPr>
            </w:pPr>
            <w:hyperlink w:anchor="page150">
              <w:r>
                <w:rPr>
                  <w:rFonts w:ascii="Arial" w:cs="Arial" w:eastAsia="Arial" w:hAnsi="Arial"/>
                  <w:sz w:val="18"/>
                  <w:szCs w:val="18"/>
                  <w:u w:val="single" w:color="auto"/>
                  <w:color w:val="0000EE"/>
                  <w:w w:val="94"/>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700" w:type="dxa"/>
            <w:vAlign w:val="bottom"/>
          </w:tcPr>
          <w:p>
            <w:pPr>
              <w:ind w:left="2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Item 13.</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Certain Relationships and Related Transactions, and Director Independence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2"/>
        </w:trPr>
        <w:tc>
          <w:tcPr>
            <w:tcW w:w="700" w:type="dxa"/>
            <w:vAlign w:val="bottom"/>
          </w:tcPr>
          <w:p>
            <w:pPr>
              <w:ind w:left="2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Item 14.</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Principal Accounting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0"/>
        </w:trPr>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80" w:type="dxa"/>
            <w:vAlign w:val="bottom"/>
            <w:gridSpan w:val="2"/>
          </w:tcPr>
          <w:p>
            <w:pPr>
              <w:jc w:val="center"/>
              <w:ind w:right="1020"/>
              <w:spacing w:after="0"/>
              <w:rPr>
                <w:rFonts w:ascii="Arial" w:cs="Arial" w:eastAsia="Arial" w:hAnsi="Arial"/>
                <w:sz w:val="18"/>
                <w:szCs w:val="18"/>
                <w:b w:val="1"/>
                <w:bCs w:val="1"/>
                <w:u w:val="single" w:color="auto"/>
                <w:color w:val="0000EE"/>
                <w:w w:val="98"/>
              </w:rPr>
            </w:pPr>
            <w:hyperlink w:anchor="page152">
              <w:r>
                <w:rPr>
                  <w:rFonts w:ascii="Arial" w:cs="Arial" w:eastAsia="Arial" w:hAnsi="Arial"/>
                  <w:sz w:val="18"/>
                  <w:szCs w:val="18"/>
                  <w:b w:val="1"/>
                  <w:bCs w:val="1"/>
                  <w:u w:val="single" w:color="auto"/>
                  <w:color w:val="0000EE"/>
                  <w:w w:val="98"/>
                </w:rPr>
                <w:t>PART IV</w:t>
              </w:r>
            </w:hyperlink>
          </w:p>
        </w:tc>
        <w:tc>
          <w:tcPr>
            <w:tcW w:w="560" w:type="dxa"/>
            <w:vAlign w:val="bottom"/>
          </w:tcPr>
          <w:p>
            <w:pPr>
              <w:spacing w:after="0"/>
              <w:rPr>
                <w:sz w:val="19"/>
                <w:szCs w:val="19"/>
                <w:color w:val="auto"/>
              </w:rPr>
            </w:pPr>
          </w:p>
        </w:tc>
      </w:tr>
      <w:tr>
        <w:trPr>
          <w:trHeight w:val="216"/>
        </w:trPr>
        <w:tc>
          <w:tcPr>
            <w:tcW w:w="700" w:type="dxa"/>
            <w:vAlign w:val="bottom"/>
          </w:tcPr>
          <w:p>
            <w:pPr>
              <w:ind w:left="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Item 15.</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700" w:type="dxa"/>
            <w:vAlign w:val="bottom"/>
          </w:tcPr>
          <w:p>
            <w:pPr>
              <w:ind w:left="2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Item 16.</w:t>
              </w:r>
            </w:hyperlink>
          </w:p>
        </w:tc>
        <w:tc>
          <w:tcPr>
            <w:tcW w:w="7660" w:type="dxa"/>
            <w:vAlign w:val="bottom"/>
            <w:gridSpan w:val="5"/>
          </w:tcPr>
          <w:p>
            <w:pPr>
              <w:ind w:left="6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Form 10-K Summary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1222"/>
        </w:trPr>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79" w:firstLine="441"/>
        <w:spacing w:after="0" w:line="254"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“goals,” “will,” “would,” “could,” “should,” “continue” and similar expressions are intended to identify forward-looking statements, although not all forward-looking statements contain these identifying words.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forward-looking statements in this Annual Report on Form 10-K include, among other things, statements about:</w:t>
      </w:r>
    </w:p>
    <w:p>
      <w:pPr>
        <w:spacing w:after="0" w:line="245" w:lineRule="exact"/>
        <w:rPr>
          <w:sz w:val="20"/>
          <w:szCs w:val="20"/>
          <w:color w:val="auto"/>
        </w:rPr>
      </w:pPr>
    </w:p>
    <w:p>
      <w:pPr>
        <w:ind w:left="840" w:right="139" w:hanging="331"/>
        <w:spacing w:after="0" w:line="251"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7"/>
          <w:szCs w:val="17"/>
          <w:color w:val="auto"/>
        </w:rPr>
        <w:t>our ongoing and planned clinical trials, including our Phase 1 clinical trial of OTX-TIC for the reduction of intraocular pressure in patients with primary open-angle glaucoma or ocular hypertension, our Phase 1 clinical trial of OTX-TKI for the treatment of wet age-related macular degeneration, or wet AMD, our Phase 2 clinical trial of OTX-CSI for the chronic treatment of dry eye disease; and our Phase 2 clinical trial for OTX-DED for the short-term treatment of the signs and symptoms of dry eye disease;</w:t>
      </w:r>
    </w:p>
    <w:p>
      <w:pPr>
        <w:spacing w:after="0" w:line="194" w:lineRule="exact"/>
        <w:rPr>
          <w:rFonts w:ascii="Arial" w:cs="Arial" w:eastAsia="Arial" w:hAnsi="Arial"/>
          <w:sz w:val="18"/>
          <w:szCs w:val="18"/>
          <w:color w:val="auto"/>
        </w:rPr>
      </w:pPr>
    </w:p>
    <w:p>
      <w:pPr>
        <w:ind w:left="840" w:right="79" w:hanging="331"/>
        <w:spacing w:after="0" w:line="252"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7"/>
          <w:szCs w:val="17"/>
          <w:color w:val="auto"/>
        </w:rPr>
        <w:t>the preclinical and clinical development of our product candidate for the short-term treatment of the signs and symptoms of dry eye disease and our intravitreal implant with protein-based or small molecule drugs, including tyrosine kinase inhibitors, for the treatment of wet AMD, diabetic macular edema, or DME, and retinal vein occlusion, or RVO;</w:t>
      </w:r>
    </w:p>
    <w:p>
      <w:pPr>
        <w:spacing w:after="0" w:line="192" w:lineRule="exact"/>
        <w:rPr>
          <w:rFonts w:ascii="Arial" w:cs="Arial" w:eastAsia="Arial" w:hAnsi="Arial"/>
          <w:sz w:val="18"/>
          <w:szCs w:val="18"/>
          <w:color w:val="auto"/>
        </w:rPr>
      </w:pPr>
    </w:p>
    <w:p>
      <w:pPr>
        <w:ind w:left="840" w:hanging="33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7"/>
          <w:szCs w:val="17"/>
          <w:color w:val="auto"/>
        </w:rPr>
        <w:t>our commercialization efforts for our product DEXTENZA®;</w:t>
      </w:r>
    </w:p>
    <w:p>
      <w:pPr>
        <w:spacing w:after="0" w:line="225" w:lineRule="exact"/>
        <w:rPr>
          <w:rFonts w:ascii="Arial" w:cs="Arial" w:eastAsia="Arial" w:hAnsi="Arial"/>
          <w:sz w:val="18"/>
          <w:szCs w:val="18"/>
          <w:color w:val="auto"/>
        </w:rPr>
      </w:pPr>
    </w:p>
    <w:p>
      <w:pPr>
        <w:ind w:left="840" w:right="159" w:hanging="331"/>
        <w:spacing w:after="0" w:line="272"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6"/>
          <w:szCs w:val="16"/>
          <w:color w:val="auto"/>
        </w:rPr>
        <w:t>our plans to develop, seek regulatory approval for and commercialize DEXTENZA for additional indications, including for the treatment of ocular itching associated with allergic conjunctivitis, for which we have been notified by the Food and Drug Administration of a target action date under the Prescription Drug User Fee Act of October 18, 2021, and our other product candidates based on our proprietary bioresorbable hydrogel technology platform;</w:t>
      </w:r>
    </w:p>
    <w:p>
      <w:pPr>
        <w:spacing w:after="0" w:line="178" w:lineRule="exact"/>
        <w:rPr>
          <w:rFonts w:ascii="Arial" w:cs="Arial" w:eastAsia="Arial" w:hAnsi="Arial"/>
          <w:sz w:val="17"/>
          <w:szCs w:val="17"/>
          <w:color w:val="auto"/>
        </w:rPr>
      </w:pPr>
    </w:p>
    <w:p>
      <w:pPr>
        <w:ind w:left="840" w:right="419" w:hanging="331"/>
        <w:spacing w:after="0" w:line="260"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7"/>
          <w:szCs w:val="17"/>
          <w:color w:val="auto"/>
        </w:rPr>
        <w:t>our ability to manufacture DEXTENZA, ReSure® Sealant and our product candidates in compliance with current Good Manufacturing Practices;</w:t>
      </w:r>
    </w:p>
    <w:p>
      <w:pPr>
        <w:spacing w:after="0" w:line="185" w:lineRule="exact"/>
        <w:rPr>
          <w:rFonts w:ascii="Arial" w:cs="Arial" w:eastAsia="Arial" w:hAnsi="Arial"/>
          <w:sz w:val="18"/>
          <w:szCs w:val="18"/>
          <w:color w:val="auto"/>
        </w:rPr>
      </w:pPr>
    </w:p>
    <w:p>
      <w:pPr>
        <w:ind w:left="840" w:hanging="33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7"/>
          <w:szCs w:val="17"/>
          <w:color w:val="auto"/>
        </w:rPr>
        <w:t>our ability to manage a sales, marketing and distribution infrastructure to support the commercialization of</w:t>
      </w:r>
    </w:p>
    <w:p>
      <w:pPr>
        <w:spacing w:after="0" w:line="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7"/>
          <w:szCs w:val="17"/>
          <w:color w:val="auto"/>
        </w:rPr>
        <w:t>DEXTENZA;</w:t>
      </w:r>
    </w:p>
    <w:p>
      <w:pPr>
        <w:spacing w:after="0" w:line="209" w:lineRule="exact"/>
        <w:rPr>
          <w:rFonts w:ascii="Arial" w:cs="Arial" w:eastAsia="Arial" w:hAnsi="Arial"/>
          <w:sz w:val="18"/>
          <w:szCs w:val="18"/>
          <w:color w:val="auto"/>
        </w:rPr>
      </w:pPr>
    </w:p>
    <w:p>
      <w:pPr>
        <w:jc w:val="both"/>
        <w:ind w:left="840" w:right="299" w:hanging="331"/>
        <w:spacing w:after="0" w:line="276"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6"/>
          <w:szCs w:val="16"/>
          <w:color w:val="auto"/>
        </w:rPr>
        <w:t>the timing of and our ability to submit applications and obtain and maintain regulatory approvals for DEXTENZA, including the submission of a supplemental new drug application for the approval of the treatment of ocular itching associated with allergic conjunctivitis as an additional indication, and other product candidates;</w:t>
      </w:r>
    </w:p>
    <w:p>
      <w:pPr>
        <w:spacing w:after="0" w:line="175" w:lineRule="exact"/>
        <w:rPr>
          <w:rFonts w:ascii="Arial" w:cs="Arial" w:eastAsia="Arial" w:hAnsi="Arial"/>
          <w:sz w:val="17"/>
          <w:szCs w:val="17"/>
          <w:color w:val="auto"/>
        </w:rPr>
      </w:pPr>
    </w:p>
    <w:p>
      <w:pPr>
        <w:ind w:left="840" w:right="599" w:hanging="331"/>
        <w:spacing w:after="0" w:line="253"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7"/>
          <w:szCs w:val="17"/>
          <w:color w:val="auto"/>
        </w:rPr>
        <w:t>our estimates regarding expenses; future revenue; the sufficiency of our cash resources; our ability to fund our operating expenses, debt service obligations and capital expenditure requirements; and our needs for additional financing;</w:t>
      </w:r>
    </w:p>
    <w:p>
      <w:pPr>
        <w:spacing w:after="0" w:line="193" w:lineRule="exact"/>
        <w:rPr>
          <w:rFonts w:ascii="Arial" w:cs="Arial" w:eastAsia="Arial" w:hAnsi="Arial"/>
          <w:sz w:val="18"/>
          <w:szCs w:val="18"/>
          <w:color w:val="auto"/>
        </w:rPr>
      </w:pPr>
    </w:p>
    <w:p>
      <w:pPr>
        <w:ind w:left="840" w:right="499" w:hanging="331"/>
        <w:spacing w:after="0" w:line="326"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5"/>
          <w:szCs w:val="15"/>
          <w:color w:val="auto"/>
        </w:rPr>
        <w:t>our plans to raise additional capital, including through equity offerings, debt financings, collaborations, strategic alliances, licensing arrangements, royalty agreements and marketing and distribution arrangements;</w:t>
      </w:r>
    </w:p>
    <w:p>
      <w:pPr>
        <w:spacing w:after="0" w:line="136" w:lineRule="exact"/>
        <w:rPr>
          <w:rFonts w:ascii="Arial" w:cs="Arial" w:eastAsia="Arial" w:hAnsi="Arial"/>
          <w:sz w:val="16"/>
          <w:szCs w:val="16"/>
          <w:color w:val="auto"/>
        </w:rPr>
      </w:pPr>
    </w:p>
    <w:p>
      <w:pPr>
        <w:ind w:left="840" w:hanging="33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7"/>
          <w:szCs w:val="17"/>
          <w:color w:val="auto"/>
        </w:rPr>
        <w:t>the potential advantages of DEXTENZA, ReSure Sealant, and our product candidates;</w:t>
      </w:r>
    </w:p>
    <w:p>
      <w:pPr>
        <w:spacing w:after="0" w:line="225" w:lineRule="exact"/>
        <w:rPr>
          <w:rFonts w:ascii="Arial" w:cs="Arial" w:eastAsia="Arial" w:hAnsi="Arial"/>
          <w:sz w:val="18"/>
          <w:szCs w:val="18"/>
          <w:color w:val="auto"/>
        </w:rPr>
      </w:pPr>
    </w:p>
    <w:p>
      <w:pPr>
        <w:ind w:left="840" w:right="399" w:hanging="331"/>
        <w:spacing w:after="0" w:line="260"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7"/>
          <w:szCs w:val="17"/>
          <w:color w:val="auto"/>
        </w:rPr>
        <w:t>the rate and degree of market acceptance and clinical utility of our products and our ability to secure and maintain reimbursement for our products;</w:t>
      </w:r>
    </w:p>
    <w:p>
      <w:pPr>
        <w:spacing w:after="0" w:line="185" w:lineRule="exact"/>
        <w:rPr>
          <w:rFonts w:ascii="Arial" w:cs="Arial" w:eastAsia="Arial" w:hAnsi="Arial"/>
          <w:sz w:val="18"/>
          <w:szCs w:val="18"/>
          <w:color w:val="auto"/>
        </w:rPr>
      </w:pPr>
    </w:p>
    <w:p>
      <w:pPr>
        <w:ind w:left="840" w:hanging="331"/>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5"/>
          <w:szCs w:val="15"/>
          <w:color w:val="auto"/>
        </w:rPr>
        <w:t>our estimates regarding the market opportunity for DEXTENZA, ReSure Sealant and our other product candidates;</w:t>
      </w:r>
    </w:p>
    <w:p>
      <w:pPr>
        <w:spacing w:after="0" w:line="248" w:lineRule="exact"/>
        <w:rPr>
          <w:rFonts w:ascii="Arial" w:cs="Arial" w:eastAsia="Arial" w:hAnsi="Arial"/>
          <w:sz w:val="16"/>
          <w:szCs w:val="16"/>
          <w:color w:val="auto"/>
        </w:rPr>
      </w:pPr>
    </w:p>
    <w:p>
      <w:pPr>
        <w:ind w:left="840" w:right="219" w:hanging="331"/>
        <w:spacing w:after="0" w:line="302"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5"/>
          <w:szCs w:val="15"/>
          <w:color w:val="auto"/>
        </w:rPr>
        <w:t>our strategic collaboration, option and license agreement with Regeneron Pharmaceuticals, Inc. under which we are collaborating on the development of an extended-delivery formulation of the vascular endothelial growth factor, trap aflibercept, currently marketed under the brand name Eylea, for the treatment of wet AMD, DME and RVO;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40" w:right="139" w:hanging="331"/>
        <w:spacing w:after="0" w:line="253"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license agreement and collaboration with AffaMed Therapeutics Limited under which we are collaborating on the commercialization of DEXTENZA and our product candidate OTX-TIC in mainland China and certain other Asian countries;</w:t>
      </w:r>
    </w:p>
    <w:p>
      <w:pPr>
        <w:spacing w:after="0" w:line="193" w:lineRule="exact"/>
        <w:rPr>
          <w:rFonts w:ascii="Arial" w:cs="Arial" w:eastAsia="Arial" w:hAnsi="Arial"/>
          <w:sz w:val="18"/>
          <w:szCs w:val="18"/>
          <w:color w:val="auto"/>
        </w:rPr>
      </w:pPr>
    </w:p>
    <w:p>
      <w:pPr>
        <w:ind w:left="840" w:right="379" w:hanging="331"/>
        <w:spacing w:after="0" w:line="253"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capabilities and strategy, and the costs and timing of manufacturing, sales, marketing, distribution and other commercialization efforts, with respect to DEXTENZA, ReSure Sealant and any additional products for which we may obtain marketing approval in the future;</w:t>
      </w:r>
    </w:p>
    <w:p>
      <w:pPr>
        <w:spacing w:after="0" w:line="193" w:lineRule="exact"/>
        <w:rPr>
          <w:rFonts w:ascii="Arial" w:cs="Arial" w:eastAsia="Arial" w:hAnsi="Arial"/>
          <w:sz w:val="18"/>
          <w:szCs w:val="18"/>
          <w:color w:val="auto"/>
        </w:rPr>
      </w:pPr>
    </w:p>
    <w:p>
      <w:pPr>
        <w:ind w:left="840" w:hanging="33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intellectual property position;</w:t>
      </w:r>
    </w:p>
    <w:p>
      <w:pPr>
        <w:spacing w:after="0" w:line="225" w:lineRule="exact"/>
        <w:rPr>
          <w:rFonts w:ascii="Arial" w:cs="Arial" w:eastAsia="Arial" w:hAnsi="Arial"/>
          <w:sz w:val="18"/>
          <w:szCs w:val="18"/>
          <w:color w:val="auto"/>
        </w:rPr>
      </w:pPr>
    </w:p>
    <w:p>
      <w:pPr>
        <w:ind w:left="840" w:right="299" w:hanging="331"/>
        <w:spacing w:after="0" w:line="253"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ability to identify additional products, product candidates or technologies with significant commercial potential that are consistent with our commercial objectives, including potential opportunities outside the field of ophthalmology;</w:t>
      </w:r>
    </w:p>
    <w:p>
      <w:pPr>
        <w:spacing w:after="0" w:line="193" w:lineRule="exact"/>
        <w:rPr>
          <w:rFonts w:ascii="Arial" w:cs="Arial" w:eastAsia="Arial" w:hAnsi="Arial"/>
          <w:sz w:val="18"/>
          <w:szCs w:val="18"/>
          <w:color w:val="auto"/>
        </w:rPr>
      </w:pPr>
    </w:p>
    <w:p>
      <w:pPr>
        <w:ind w:left="840" w:hanging="33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7"/>
          <w:szCs w:val="17"/>
          <w:color w:val="auto"/>
        </w:rPr>
        <w:t>the impact of government laws and regulations;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7"/>
          <w:szCs w:val="17"/>
          <w:color w:val="auto"/>
        </w:rPr>
        <w:t>the costs and outcomes of legal actions and proceedings;</w:t>
      </w:r>
    </w:p>
    <w:p>
      <w:pPr>
        <w:spacing w:after="0" w:line="225" w:lineRule="exact"/>
        <w:rPr>
          <w:rFonts w:ascii="Arial" w:cs="Arial" w:eastAsia="Arial" w:hAnsi="Arial"/>
          <w:sz w:val="18"/>
          <w:szCs w:val="18"/>
          <w:color w:val="auto"/>
        </w:rPr>
      </w:pPr>
    </w:p>
    <w:p>
      <w:pPr>
        <w:ind w:left="840" w:right="479" w:hanging="331"/>
        <w:spacing w:after="0" w:line="260"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7"/>
          <w:szCs w:val="17"/>
          <w:color w:val="auto"/>
        </w:rPr>
        <w:t>uncertainty regarding the extent to which the COVID-19 pandemic and related response measures will adversely affect our business, results of operations and financial condition; and</w:t>
      </w:r>
    </w:p>
    <w:p>
      <w:pPr>
        <w:spacing w:after="0" w:line="185" w:lineRule="exact"/>
        <w:rPr>
          <w:rFonts w:ascii="Arial" w:cs="Arial" w:eastAsia="Arial" w:hAnsi="Arial"/>
          <w:sz w:val="18"/>
          <w:szCs w:val="18"/>
          <w:color w:val="auto"/>
        </w:rPr>
      </w:pPr>
    </w:p>
    <w:p>
      <w:pPr>
        <w:ind w:left="840" w:hanging="33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competitive position.</w:t>
      </w:r>
    </w:p>
    <w:p>
      <w:pPr>
        <w:spacing w:after="0" w:line="228" w:lineRule="exact"/>
        <w:rPr>
          <w:sz w:val="20"/>
          <w:szCs w:val="20"/>
          <w:color w:val="auto"/>
        </w:rPr>
      </w:pPr>
    </w:p>
    <w:p>
      <w:pPr>
        <w:ind w:left="60" w:right="159" w:firstLine="441"/>
        <w:spacing w:after="0" w:line="272"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licensing agreements or investments we may make.</w:t>
      </w:r>
    </w:p>
    <w:p>
      <w:pPr>
        <w:spacing w:after="0" w:line="218" w:lineRule="exact"/>
        <w:rPr>
          <w:sz w:val="20"/>
          <w:szCs w:val="20"/>
          <w:color w:val="auto"/>
        </w:rPr>
      </w:pPr>
    </w:p>
    <w:p>
      <w:pPr>
        <w:ind w:left="60" w:right="99" w:firstLine="441"/>
        <w:spacing w:after="0" w:line="279"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RISKS RELATED TO OUR BUSINESS</w:t>
      </w:r>
    </w:p>
    <w:p>
      <w:pPr>
        <w:spacing w:after="0" w:line="256" w:lineRule="exact"/>
        <w:rPr>
          <w:sz w:val="20"/>
          <w:szCs w:val="20"/>
          <w:color w:val="auto"/>
        </w:rPr>
      </w:pPr>
    </w:p>
    <w:p>
      <w:pPr>
        <w:jc w:val="both"/>
        <w:ind w:left="60" w:right="99" w:firstLine="441"/>
        <w:spacing w:after="0" w:line="311" w:lineRule="auto"/>
        <w:rPr>
          <w:sz w:val="20"/>
          <w:szCs w:val="20"/>
          <w:color w:val="auto"/>
        </w:rPr>
      </w:pPr>
      <w:r>
        <w:rPr>
          <w:rFonts w:ascii="Arial" w:cs="Arial" w:eastAsia="Arial" w:hAnsi="Arial"/>
          <w:sz w:val="16"/>
          <w:szCs w:val="16"/>
          <w:color w:val="auto"/>
        </w:rPr>
        <w:t>Our business, financial condition, results of operations and future growth prospects are subject to numerous risks and uncertainties that you should be aware of before making an investment decision, as more fully described under the heading “Risk Factors” and elsewhere in this Annual Report. These risks include, but are not limited to, the following:</w:t>
      </w:r>
    </w:p>
    <w:p>
      <w:pPr>
        <w:spacing w:after="0" w:line="186" w:lineRule="exact"/>
        <w:rPr>
          <w:sz w:val="20"/>
          <w:szCs w:val="20"/>
          <w:color w:val="auto"/>
        </w:rPr>
      </w:pPr>
    </w:p>
    <w:p>
      <w:pPr>
        <w:ind w:left="840" w:right="199" w:hanging="331"/>
        <w:spacing w:after="0" w:line="272"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6"/>
          <w:szCs w:val="16"/>
          <w:color w:val="auto"/>
        </w:rPr>
        <w:t>We have incurred significant losses since our inception. Our net losses were $60.0 million for the year ended December 31, 2018, $86.4 million for the year ended December 31, 2019, and $155.6 million for the year ended December 31, 2020. As of December 31, 2020, we had an accumulated deficit of $539.3 million. We expect to incur operating losses over the next several years and may never achieve or maintain profitability.</w:t>
      </w:r>
    </w:p>
    <w:p>
      <w:pPr>
        <w:spacing w:after="0" w:line="178" w:lineRule="exact"/>
        <w:rPr>
          <w:rFonts w:ascii="Arial" w:cs="Arial" w:eastAsia="Arial" w:hAnsi="Arial"/>
          <w:sz w:val="17"/>
          <w:szCs w:val="17"/>
          <w:color w:val="auto"/>
        </w:rPr>
      </w:pPr>
    </w:p>
    <w:p>
      <w:pPr>
        <w:ind w:left="840" w:right="139" w:hanging="331"/>
        <w:spacing w:after="0" w:line="326"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5"/>
          <w:szCs w:val="15"/>
          <w:color w:val="auto"/>
        </w:rPr>
        <w:t>We will need substantial additional funding. If we are unable to raise capital when needed or on attractive terms, we may be forced to delay, reduce or eliminate our research and development programs or our commercialization efforts.</w:t>
      </w:r>
    </w:p>
    <w:p>
      <w:pPr>
        <w:spacing w:after="0" w:line="136" w:lineRule="exact"/>
        <w:rPr>
          <w:rFonts w:ascii="Arial" w:cs="Arial" w:eastAsia="Arial" w:hAnsi="Arial"/>
          <w:sz w:val="16"/>
          <w:szCs w:val="16"/>
          <w:color w:val="auto"/>
        </w:rPr>
      </w:pPr>
    </w:p>
    <w:p>
      <w:pPr>
        <w:ind w:left="840" w:right="219" w:hanging="331"/>
        <w:spacing w:after="0" w:line="251"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7"/>
          <w:szCs w:val="17"/>
          <w:color w:val="auto"/>
        </w:rPr>
        <w:t>We depend heavily on the success of DEXTENZA and our product candidates. Our ability to generate product revenues sufficient to achieve profitability is dependent on our successful commercialization of DEXTENZA for the treatment of ocular inflammation and pain following ophthalmic surgery and our obtaining marketing approval for and commercializing other products with significant market potential, including DEXTENZA for additional indications.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40" w:right="79" w:hanging="331"/>
        <w:spacing w:after="0" w:line="250"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7"/>
          <w:szCs w:val="17"/>
          <w:color w:val="auto"/>
        </w:rPr>
        <w:t>DEXTENZA, ReSure Sealant and any product candidates for which we obtain marketing approval may become subject to unfavorable pricing regulations, third-party coverage or reimbursement practices or healthcare reform initiatives, which could harm our business. For example, DEXTENZA is currently scheduled to lose transitional pass-through status in July 2022. If pass-through status were to lapse, DEXTENZA would no longer be reimbursed separately from the ophthalmic surgery and our ability to generate revenues from the sales of DEXTENZA to ambulatory surgical centers and hospital out-patient departments for the treatment of post-surgical ocular inflammation and pain would be adversely affected.</w:t>
      </w:r>
    </w:p>
    <w:p>
      <w:pPr>
        <w:spacing w:after="0" w:line="196" w:lineRule="exact"/>
        <w:rPr>
          <w:rFonts w:ascii="Arial" w:cs="Arial" w:eastAsia="Arial" w:hAnsi="Arial"/>
          <w:sz w:val="18"/>
          <w:szCs w:val="18"/>
          <w:color w:val="auto"/>
        </w:rPr>
      </w:pPr>
    </w:p>
    <w:p>
      <w:pPr>
        <w:ind w:left="840" w:right="159" w:hanging="331"/>
        <w:spacing w:after="0" w:line="270"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6"/>
          <w:szCs w:val="16"/>
          <w:color w:val="auto"/>
        </w:rPr>
        <w:t>The COVID-19 pandemic has disrupted, and is expected to continue to adversely affect, our operations, including the progress of our commercialization of DEXTENZA and our ability to generate revenue from sales of DEXTENZA or ReSure Sealant. The COVID-19 pandemic may delay or adversely affect our clinical development activities, including our ability to recruit or retain patients in our ongoing clinical trials. We cannot be certain of the overall impact of COVID-19 on our business, financial condition and results of operations.</w:t>
      </w:r>
    </w:p>
    <w:p>
      <w:pPr>
        <w:spacing w:after="0" w:line="180" w:lineRule="exact"/>
        <w:rPr>
          <w:rFonts w:ascii="Arial" w:cs="Arial" w:eastAsia="Arial" w:hAnsi="Arial"/>
          <w:sz w:val="17"/>
          <w:szCs w:val="17"/>
          <w:color w:val="auto"/>
        </w:rPr>
      </w:pPr>
    </w:p>
    <w:p>
      <w:pPr>
        <w:ind w:left="840" w:right="139" w:hanging="331"/>
        <w:spacing w:after="0" w:line="267"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6"/>
          <w:szCs w:val="16"/>
          <w:color w:val="auto"/>
        </w:rPr>
        <w:t>Clinical trials of our product candidates may not be successful. We currently have several ongoing and planned clinical trials, including our Phase 1 clinical trial of OTX-TKI for the treatment of wet age-related macular degeneration, or wet AMD; our Phase 1 clinical trial of OTX-TIC for the reduction of intraocular pressure in patients with primary open-angle glaucoma or ocular hypertension; our Phase 2 clinical trial of OTX-CSI for the chronic treatment of dry eye disease; and our Phase 2 clinical trial for OTX-DED for the short-term treatment of the signs and symptoms of dry eye disease. If these or other clinical trials of any product candidate that we develop fail to demonstrate safety and efficacy to the satisfaction of the FDA or other regulatory authorities or do not otherwise produce favorable results, we may incur additional costs or experience delays in completing, or ultimately be unable to complete, the development and commercialization of such product candidate.</w:t>
      </w:r>
    </w:p>
    <w:p>
      <w:pPr>
        <w:spacing w:after="0" w:line="183" w:lineRule="exact"/>
        <w:rPr>
          <w:rFonts w:ascii="Arial" w:cs="Arial" w:eastAsia="Arial" w:hAnsi="Arial"/>
          <w:sz w:val="17"/>
          <w:szCs w:val="17"/>
          <w:color w:val="auto"/>
        </w:rPr>
      </w:pPr>
    </w:p>
    <w:p>
      <w:pPr>
        <w:ind w:left="840" w:right="139" w:hanging="331"/>
        <w:spacing w:after="0" w:line="253"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7"/>
          <w:szCs w:val="17"/>
          <w:color w:val="auto"/>
        </w:rPr>
        <w:t>We may not be successful in our efforts to develop products and product candidates based on our bioresorbable hydrogel technology platform, other than DEXTENZA and ReSure Sealant, or to expand the use of our bioresorbable hydrogel technology for treating additional diseases and conditions.</w:t>
      </w:r>
    </w:p>
    <w:p>
      <w:pPr>
        <w:spacing w:after="0" w:line="193" w:lineRule="exact"/>
        <w:rPr>
          <w:rFonts w:ascii="Arial" w:cs="Arial" w:eastAsia="Arial" w:hAnsi="Arial"/>
          <w:sz w:val="18"/>
          <w:szCs w:val="18"/>
          <w:color w:val="auto"/>
        </w:rPr>
      </w:pPr>
    </w:p>
    <w:p>
      <w:pPr>
        <w:ind w:left="840" w:right="379" w:hanging="331"/>
        <w:spacing w:after="0" w:line="252"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7"/>
          <w:szCs w:val="17"/>
          <w:color w:val="auto"/>
        </w:rPr>
        <w:t>We will depend heavily on our collaboration with Regeneron for the success of our extended-delivery hydrogel formulation in combination with Regeneron’s large molecule VEGF-targeting compounds. If Regeneron does not exercise its option, terminates our collaboration agreement or is unable to meet its contractual obligations, it could negatively impact our business.</w:t>
      </w:r>
    </w:p>
    <w:p>
      <w:pPr>
        <w:spacing w:after="0" w:line="192" w:lineRule="exact"/>
        <w:rPr>
          <w:rFonts w:ascii="Arial" w:cs="Arial" w:eastAsia="Arial" w:hAnsi="Arial"/>
          <w:sz w:val="18"/>
          <w:szCs w:val="18"/>
          <w:color w:val="auto"/>
        </w:rPr>
      </w:pPr>
    </w:p>
    <w:p>
      <w:pPr>
        <w:ind w:left="840" w:right="119" w:hanging="331"/>
        <w:spacing w:after="0" w:line="269"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6"/>
          <w:szCs w:val="16"/>
          <w:color w:val="auto"/>
        </w:rPr>
        <w:t>If we are unable to establish and maintain adequate sales, marketing and distribution capabilities, scale up our manufacturing processes and capabilities, maintain regulatory compliance for our manufacturing operations, obtain and maintain patent protection for or gain market acceptance by physicians, patients and third-party payors and others in the medical community of DEXTENZA, ReSure Sealant or any of our product candidates for which we obtain marketing approval, or experience significant delays in doing so, our business will be materially harmed and our ability to generate revenues from product sales will be materially impaired.</w:t>
      </w:r>
    </w:p>
    <w:p>
      <w:pPr>
        <w:spacing w:after="0" w:line="180" w:lineRule="exact"/>
        <w:rPr>
          <w:rFonts w:ascii="Arial" w:cs="Arial" w:eastAsia="Arial" w:hAnsi="Arial"/>
          <w:sz w:val="17"/>
          <w:szCs w:val="17"/>
          <w:color w:val="auto"/>
        </w:rPr>
      </w:pPr>
    </w:p>
    <w:p>
      <w:pPr>
        <w:ind w:left="840" w:right="99" w:hanging="331"/>
        <w:spacing w:after="0" w:line="269"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6"/>
          <w:szCs w:val="16"/>
          <w:color w:val="auto"/>
        </w:rPr>
        <w:t>Our products face and, if approved, our product candidates will face competition from generic and branded versions of existing drugs, many of which have achieved widespread acceptance among physicians, payors and patients for the treatment of ophthalmic diseases and conditions. In addition, because the active pharmaceutical ingredients in our products and product candidates, other than those developed under the Regeneron collaboration, are available on a generic basis, competitors will be able to offer and sell products with the same active pharmaceutical ingredient as our products so long as these competitors do not infringe our patent rights.</w:t>
      </w:r>
    </w:p>
    <w:p>
      <w:pPr>
        <w:spacing w:after="0" w:line="180" w:lineRule="exact"/>
        <w:rPr>
          <w:rFonts w:ascii="Arial" w:cs="Arial" w:eastAsia="Arial" w:hAnsi="Arial"/>
          <w:sz w:val="17"/>
          <w:szCs w:val="17"/>
          <w:color w:val="auto"/>
        </w:rPr>
      </w:pPr>
    </w:p>
    <w:p>
      <w:pPr>
        <w:ind w:left="840" w:right="299" w:hanging="331"/>
        <w:spacing w:after="0" w:line="260"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7"/>
          <w:szCs w:val="17"/>
          <w:color w:val="auto"/>
        </w:rPr>
        <w:t>Even if we successfully obtain marketing approval for one or more of our product candidates, the approved product will be subject to ongoing review and extensive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Ocular Therapeutix</w:t>
      </w:r>
    </w:p>
    <w:p>
      <w:pPr>
        <w:spacing w:after="0" w:line="229" w:lineRule="exact"/>
        <w:rPr>
          <w:sz w:val="20"/>
          <w:szCs w:val="20"/>
          <w:color w:val="auto"/>
        </w:rPr>
      </w:pPr>
    </w:p>
    <w:p>
      <w:pPr>
        <w:jc w:val="both"/>
        <w:ind w:left="60" w:right="119" w:firstLine="441"/>
        <w:spacing w:after="0" w:line="311" w:lineRule="auto"/>
        <w:rPr>
          <w:sz w:val="20"/>
          <w:szCs w:val="20"/>
          <w:color w:val="auto"/>
        </w:rPr>
      </w:pPr>
      <w:r>
        <w:rPr>
          <w:rFonts w:ascii="Arial" w:cs="Arial" w:eastAsia="Arial" w:hAnsi="Arial"/>
          <w:sz w:val="16"/>
          <w:szCs w:val="16"/>
          <w:color w:val="auto"/>
        </w:rPr>
        <w:t>We are a biopharmaceutical company focused on the formulation, development and commercialization of innovative therapies for diseases and conditions of the eye using our proprietary, bioresorbable hydrogel platform technology. We use this technology to tailor duration and amount of delivery of a range of therapeutic agents in our product candidates.</w:t>
      </w:r>
    </w:p>
    <w:p>
      <w:pPr>
        <w:spacing w:after="0" w:line="149" w:lineRule="exact"/>
        <w:rPr>
          <w:sz w:val="20"/>
          <w:szCs w:val="20"/>
          <w:color w:val="auto"/>
        </w:rPr>
      </w:pPr>
    </w:p>
    <w:p>
      <w:pPr>
        <w:ind w:left="60" w:right="99" w:firstLine="441"/>
        <w:spacing w:after="0" w:line="265" w:lineRule="auto"/>
        <w:rPr>
          <w:sz w:val="20"/>
          <w:szCs w:val="20"/>
          <w:color w:val="auto"/>
        </w:rPr>
      </w:pPr>
      <w:r>
        <w:rPr>
          <w:rFonts w:ascii="Arial" w:cs="Arial" w:eastAsia="Arial" w:hAnsi="Arial"/>
          <w:sz w:val="16"/>
          <w:szCs w:val="16"/>
          <w:color w:val="auto"/>
        </w:rPr>
        <w:t>We currently incorporate therapeutic agents that have previously received regulatory approval from the U.S. Food and Drug Administration, or FDA, including small molecules and proteins, into our hydrogel technology with the goal of providing local programmed-release of drug to the eye. We believe that our local programmed-release drug delivery technology has the potential to treat conditions and diseases of both the front and the back of the eye and can be administered through a range of different modalities including intravitreal implants, suprachoroidal implants, intracameral implants and intracanalicular inserts. We have product candidates in preclinical and clinical development designed to utilize this technology to treat retinal diseases including wet age-related macular degeneration, or wet AMD; glaucoma and ocular hypertension; and ocular surface diseases and conditions including dry eye disease and ocular itching associated with allergic conjunctivitis. We also have two FDA-approved products in commercialization in the United States: DEXTENZA</w:t>
      </w:r>
      <w:r>
        <w:rPr>
          <w:rFonts w:ascii="Arial" w:cs="Arial" w:eastAsia="Arial" w:hAnsi="Arial"/>
          <w:sz w:val="23"/>
          <w:szCs w:val="23"/>
          <w:color w:val="auto"/>
          <w:vertAlign w:val="superscript"/>
        </w:rPr>
        <w:t>®</w:t>
      </w:r>
      <w:r>
        <w:rPr>
          <w:rFonts w:ascii="Arial" w:cs="Arial" w:eastAsia="Arial" w:hAnsi="Arial"/>
          <w:sz w:val="16"/>
          <w:szCs w:val="16"/>
          <w:color w:val="auto"/>
        </w:rPr>
        <w:t>, an intracanalicular insert for the treatment of post-surgical ocular inflammation and pain, and ReSure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Sealant, an ophthalmic device designed to prevent wound leaks in corneal incisions following cataract surgery.</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earlier-stage assets include four programs in clinical development:</w:t>
      </w:r>
    </w:p>
    <w:p>
      <w:pPr>
        <w:spacing w:after="0" w:line="225" w:lineRule="exact"/>
        <w:rPr>
          <w:sz w:val="20"/>
          <w:szCs w:val="20"/>
          <w:color w:val="auto"/>
        </w:rPr>
      </w:pPr>
    </w:p>
    <w:p>
      <w:pPr>
        <w:ind w:left="820" w:hanging="329"/>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OTX-TKI, an axitinib intravitreal implant administered by fine-gauge needle for the treatment of wet AMD;</w:t>
      </w:r>
    </w:p>
    <w:p>
      <w:pPr>
        <w:spacing w:after="0" w:line="263" w:lineRule="exact"/>
        <w:rPr>
          <w:rFonts w:ascii="Arial" w:cs="Arial" w:eastAsia="Arial" w:hAnsi="Arial"/>
          <w:sz w:val="17"/>
          <w:szCs w:val="17"/>
          <w:color w:val="auto"/>
        </w:rPr>
      </w:pPr>
    </w:p>
    <w:p>
      <w:pPr>
        <w:ind w:left="820" w:right="339" w:hanging="329"/>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OTX-TIC, a travoprost intracameral implant for the reduction of intraocular pressure, or IOP, in patients with glaucoma or ocular hypertension;</w:t>
      </w:r>
    </w:p>
    <w:p>
      <w:pPr>
        <w:spacing w:after="0" w:line="197" w:lineRule="exact"/>
        <w:rPr>
          <w:rFonts w:ascii="Arial" w:cs="Arial" w:eastAsia="Arial" w:hAnsi="Arial"/>
          <w:sz w:val="18"/>
          <w:szCs w:val="18"/>
          <w:color w:val="auto"/>
        </w:rPr>
      </w:pPr>
    </w:p>
    <w:p>
      <w:pPr>
        <w:ind w:left="820" w:hanging="32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OTX-CSI, a cyclosporine intracanalicular insert for the chronic treatment of dry eye disease; and</w:t>
      </w:r>
    </w:p>
    <w:p>
      <w:pPr>
        <w:spacing w:after="0" w:line="252" w:lineRule="exact"/>
        <w:rPr>
          <w:rFonts w:ascii="Arial" w:cs="Arial" w:eastAsia="Arial" w:hAnsi="Arial"/>
          <w:sz w:val="18"/>
          <w:szCs w:val="18"/>
          <w:color w:val="auto"/>
        </w:rPr>
      </w:pPr>
    </w:p>
    <w:p>
      <w:pPr>
        <w:ind w:left="820" w:right="279" w:hanging="329"/>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OTX-DED, a dexamethasone intracanalicular insert for the short-term treatment of the signs and symptoms of dry eye disease.</w:t>
      </w:r>
    </w:p>
    <w:p>
      <w:pPr>
        <w:spacing w:after="0" w:line="197" w:lineRule="exact"/>
        <w:rPr>
          <w:sz w:val="20"/>
          <w:szCs w:val="20"/>
          <w:color w:val="auto"/>
        </w:rPr>
      </w:pPr>
    </w:p>
    <w:p>
      <w:pPr>
        <w:ind w:left="60" w:right="359" w:firstLine="441"/>
        <w:spacing w:after="0" w:line="301" w:lineRule="auto"/>
        <w:rPr>
          <w:sz w:val="20"/>
          <w:szCs w:val="20"/>
          <w:color w:val="auto"/>
        </w:rPr>
      </w:pPr>
      <w:r>
        <w:rPr>
          <w:rFonts w:ascii="Arial" w:cs="Arial" w:eastAsia="Arial" w:hAnsi="Arial"/>
          <w:sz w:val="16"/>
          <w:szCs w:val="16"/>
          <w:color w:val="auto"/>
        </w:rPr>
        <w:t>We have a collaboration with Regeneron Pharmaceuticals, Inc., or Regeneron, for the development and potential commercialization of products containing our local programmed-release hydrogel in combination with Regeneron’s vascular endothelial growth factor, or VEGF inhibitor, aflibercept, currently marketed under the brand name Eylea. We also continue to assess the potential use of our hydrogel platform technology in other areas of the body.</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Retinal Disease Programs</w:t>
      </w:r>
    </w:p>
    <w:p>
      <w:pPr>
        <w:spacing w:after="0" w:line="225" w:lineRule="exact"/>
        <w:rPr>
          <w:sz w:val="20"/>
          <w:szCs w:val="20"/>
          <w:color w:val="auto"/>
        </w:rPr>
      </w:pPr>
    </w:p>
    <w:p>
      <w:pPr>
        <w:ind w:left="60" w:right="99" w:firstLine="441"/>
        <w:spacing w:after="0" w:line="291" w:lineRule="auto"/>
        <w:rPr>
          <w:sz w:val="20"/>
          <w:szCs w:val="20"/>
          <w:color w:val="auto"/>
        </w:rPr>
      </w:pPr>
      <w:r>
        <w:rPr>
          <w:rFonts w:ascii="Arial" w:cs="Arial" w:eastAsia="Arial" w:hAnsi="Arial"/>
          <w:sz w:val="16"/>
          <w:szCs w:val="16"/>
          <w:color w:val="auto"/>
        </w:rPr>
        <w:t>We are engaged in the development of formulations of our hydrogel administered via intravitreal injection to address large markets for diseases and conditions of the back of the eye which we believe have significant growth potential. Our initial development efforts for our retinal disease programs have focused on the use of our extended-delivery hydrogel in combination with anti-angiogenic drugs, such as TKIs or protein-based anti-VEGF drugs, for the treatment of retinal diseases such as wet AMD; diabetic macular edema, or DME; and retinal vein occlusion, or RVO. Our initial goal for these programs is to provide extended delivery for at least six months, thereby reducing the frequency of the current monthly or bi-monthly immediate release intravitreal anti-VEGF injection regimens for wet AMD and other retinal diseases.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OTX-TKI (axitinib intravitreal implant)</w:t>
      </w:r>
    </w:p>
    <w:p>
      <w:pPr>
        <w:spacing w:after="0" w:line="225" w:lineRule="exact"/>
        <w:rPr>
          <w:sz w:val="20"/>
          <w:szCs w:val="20"/>
          <w:color w:val="auto"/>
        </w:rPr>
      </w:pPr>
    </w:p>
    <w:p>
      <w:pPr>
        <w:ind w:left="60" w:right="519" w:firstLine="486"/>
        <w:spacing w:after="0" w:line="342" w:lineRule="auto"/>
        <w:rPr>
          <w:sz w:val="20"/>
          <w:szCs w:val="20"/>
          <w:color w:val="auto"/>
        </w:rPr>
      </w:pPr>
      <w:r>
        <w:rPr>
          <w:rFonts w:ascii="Arial" w:cs="Arial" w:eastAsia="Arial" w:hAnsi="Arial"/>
          <w:sz w:val="16"/>
          <w:szCs w:val="16"/>
          <w:color w:val="auto"/>
        </w:rPr>
        <w:t>Our product candidate OTX-TKI is a preformed, bioresorbable hydrogel fiber implant incorporating a small molecule tyrosine kinase inhibitor, or TKI, axitinib, with anti-angiogenic properties delivered by intravitreal injection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and designed for a duration of six months or longer. TKIs have shown promise in the treatment of wet AMD. In the first quarter of 2019, we began dosing patients in a multi-center, open-label, dose-escalation Phase 1 clinical trial in Australia designed to evaluate the safety, durability and tolerability of OTX-TKI. We are evaluating biological activity by measuring retinal thickness using spectral domain optical coherence tomography, or OCT, and following visual acuity over time. Two cohorts were initially enrolled: a lower dose cohort of 200 µg with six subjects and a higher dose cohort of 400 µg with seven subjects. We are actively enrolling a third cohort of 12 subjects, split between parallel arms of six subjects each. Subjects in the first arm of the third cohort will receive a dose of 600 µg, and subjects in the second arm will receive a 400 µg dose combined with an anti-VEGF induction injection.</w:t>
      </w:r>
    </w:p>
    <w:p>
      <w:pPr>
        <w:spacing w:after="0" w:line="178" w:lineRule="exact"/>
        <w:rPr>
          <w:sz w:val="20"/>
          <w:szCs w:val="20"/>
          <w:color w:val="auto"/>
        </w:rPr>
      </w:pPr>
    </w:p>
    <w:p>
      <w:pPr>
        <w:ind w:left="60" w:right="99" w:firstLine="486"/>
        <w:spacing w:after="0" w:line="257" w:lineRule="auto"/>
        <w:rPr>
          <w:sz w:val="20"/>
          <w:szCs w:val="20"/>
          <w:color w:val="auto"/>
        </w:rPr>
      </w:pPr>
      <w:r>
        <w:rPr>
          <w:rFonts w:ascii="Arial" w:cs="Arial" w:eastAsia="Arial" w:hAnsi="Arial"/>
          <w:sz w:val="18"/>
          <w:szCs w:val="18"/>
          <w:color w:val="auto"/>
        </w:rPr>
        <w:t>At the Angiogenesis, Exudations, and Degeneration Virtual Conference in February 2021, we presented interim data from the Phase 1 clinical trial. In the Phase 1 clinical trial, OTX-TKI was observed to have a generally favorable safety profile, with no reported ocular serious adverse events. Some subjects in the Phase 1 clinical trial have shown a decrease in intraretinal or subretinal fluid by two months, and interim data suggests that OTX-TKI might have an extended duration of action beyond that of the current standard of care.</w:t>
      </w:r>
    </w:p>
    <w:p>
      <w:pPr>
        <w:spacing w:after="0" w:line="188" w:lineRule="exact"/>
        <w:rPr>
          <w:sz w:val="20"/>
          <w:szCs w:val="20"/>
          <w:color w:val="auto"/>
        </w:rPr>
      </w:pPr>
    </w:p>
    <w:p>
      <w:pPr>
        <w:ind w:left="60" w:right="119" w:firstLine="486"/>
        <w:spacing w:after="0" w:line="257" w:lineRule="auto"/>
        <w:rPr>
          <w:sz w:val="20"/>
          <w:szCs w:val="20"/>
          <w:color w:val="auto"/>
        </w:rPr>
      </w:pPr>
      <w:r>
        <w:rPr>
          <w:rFonts w:ascii="Arial" w:cs="Arial" w:eastAsia="Arial" w:hAnsi="Arial"/>
          <w:sz w:val="18"/>
          <w:szCs w:val="18"/>
          <w:color w:val="auto"/>
        </w:rPr>
        <w:t>We plan to initiate a prospective, randomized, controlled Phase 1 clinical trial in the United States under an exploratory investigational new drug, or eIND, application in mid-2021 to evaluate a single implant 600 µg dose of OTX-TKI (combined with an anti-VEGF induction injection) in comparison with a 2 mg dose of aflibercept. We have requested a pre-investigational new drug, or IND, application meeting with the FDA to discuss the possibility of transitioning from an eIND application to a traditional IND application.</w:t>
      </w:r>
    </w:p>
    <w:p>
      <w:pPr>
        <w:spacing w:after="0" w:line="188" w:lineRule="exact"/>
        <w:rPr>
          <w:sz w:val="20"/>
          <w:szCs w:val="20"/>
          <w:color w:val="auto"/>
        </w:rPr>
      </w:pPr>
    </w:p>
    <w:p>
      <w:pPr>
        <w:ind w:left="60" w:right="159" w:firstLine="531"/>
        <w:spacing w:after="0" w:line="259" w:lineRule="auto"/>
        <w:rPr>
          <w:sz w:val="20"/>
          <w:szCs w:val="20"/>
          <w:color w:val="auto"/>
        </w:rPr>
      </w:pPr>
      <w:r>
        <w:rPr>
          <w:rFonts w:ascii="Arial" w:cs="Arial" w:eastAsia="Arial" w:hAnsi="Arial"/>
          <w:sz w:val="18"/>
          <w:szCs w:val="18"/>
          <w:color w:val="auto"/>
        </w:rPr>
        <w:t>Pending our receipt and review of the topline data from the Phase 1 clinical trial in Australia and related regulatory discussions, we also plan to initiate a Phase 2 clinical trial in Australia to compare the administration of a single implant 600 µg dose of OTX-TKI (combined with an anti-VEGF induction injection) to a 2 mg dose of aflibercept dosed every 8 weeks as the comparator.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OTX-AFS (aflibercept suprachoroidal injection) in collaboration with Regeneron</w:t>
      </w:r>
    </w:p>
    <w:p>
      <w:pPr>
        <w:spacing w:after="0" w:line="225" w:lineRule="exact"/>
        <w:rPr>
          <w:sz w:val="20"/>
          <w:szCs w:val="20"/>
          <w:color w:val="auto"/>
        </w:rPr>
      </w:pPr>
    </w:p>
    <w:p>
      <w:pPr>
        <w:ind w:left="60" w:right="159" w:firstLine="441"/>
        <w:spacing w:after="0" w:line="271" w:lineRule="auto"/>
        <w:rPr>
          <w:sz w:val="20"/>
          <w:szCs w:val="20"/>
          <w:color w:val="auto"/>
        </w:rPr>
      </w:pPr>
      <w:r>
        <w:rPr>
          <w:rFonts w:ascii="Arial" w:cs="Arial" w:eastAsia="Arial" w:hAnsi="Arial"/>
          <w:sz w:val="17"/>
          <w:szCs w:val="17"/>
          <w:color w:val="auto"/>
        </w:rPr>
        <w:t>As described above, in October 2016, we entered into a strategic collaboration, option and license agreement with Regeneron for the development and potential commercialization of products using our local programmed-release hydrogel in combination with, among other things, Regeneron’s large molecule VEGF-targeting compounds for the treatment of retinal diseases, with the initial focus on the VEGF trap aflibercept. We and Regeneron amended this agreement in May 2020 to, among other things, transition joint efforts under the collaboration to the research and development of an extended-delivery formulation of aflibercept to be delivered to the suprachoroidal space which we refer to as OTX-AFS. Under the amended agreement, we have provided certain formulations to Regeneron who have agreed to perform preclinical assessments of OTX-AFS.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Glaucoma Program</w:t>
      </w:r>
    </w:p>
    <w:p>
      <w:pPr>
        <w:spacing w:after="0" w:line="225" w:lineRule="exact"/>
        <w:rPr>
          <w:sz w:val="20"/>
          <w:szCs w:val="20"/>
          <w:color w:val="auto"/>
        </w:rPr>
      </w:pPr>
    </w:p>
    <w:p>
      <w:pPr>
        <w:ind w:left="60" w:right="219" w:firstLine="441"/>
        <w:spacing w:after="0" w:line="286" w:lineRule="auto"/>
        <w:rPr>
          <w:sz w:val="20"/>
          <w:szCs w:val="20"/>
          <w:color w:val="auto"/>
        </w:rPr>
      </w:pPr>
      <w:r>
        <w:rPr>
          <w:rFonts w:ascii="Arial" w:cs="Arial" w:eastAsia="Arial" w:hAnsi="Arial"/>
          <w:sz w:val="17"/>
          <w:szCs w:val="17"/>
          <w:color w:val="auto"/>
        </w:rPr>
        <w:t>Our development efforts for our glaucoma program have focused on the use of our extended-delivery hydrogel in combination with travoprost, an FDA-approved prostaglandin analog designed to lower elevated IOP. Our initial goal for this program is to provide extended delivery over at least four months with a single treatment.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OTX-TIC (travoprost intracameral implant)</w:t>
      </w:r>
    </w:p>
    <w:p>
      <w:pPr>
        <w:spacing w:after="0" w:line="225" w:lineRule="exact"/>
        <w:rPr>
          <w:sz w:val="20"/>
          <w:szCs w:val="20"/>
          <w:color w:val="auto"/>
        </w:rPr>
      </w:pPr>
    </w:p>
    <w:p>
      <w:pPr>
        <w:ind w:left="60" w:right="79" w:firstLine="441"/>
        <w:spacing w:after="0" w:line="254" w:lineRule="auto"/>
        <w:rPr>
          <w:sz w:val="20"/>
          <w:szCs w:val="20"/>
          <w:color w:val="auto"/>
        </w:rPr>
      </w:pPr>
      <w:r>
        <w:rPr>
          <w:rFonts w:ascii="Arial" w:cs="Arial" w:eastAsia="Arial" w:hAnsi="Arial"/>
          <w:sz w:val="18"/>
          <w:szCs w:val="18"/>
          <w:color w:val="auto"/>
        </w:rPr>
        <w:t>Our product candidate OTX-TIC is a bioresorbable hydrogel implant incorporating travoprost that is designed to be administered by a physician as an intracameral injection with an initial target duration of drug release of four to six months. We are currently conducting a multi-center, open-label, dose-escalation, proof-of-concept Phase 1 clinical trial to evaluate the safety, biological activity, durability and tolerability of OTX-TIC compared to topical travoprost (eye drops) in patients with primary open-angle glaucoma or ocular hypertension. The trial consists of four patient cohorts: cohort 1 is 5 subjects who are receiving a 15 µg dose, cohort 2 is 4 subjects who are receiving a 26 µg dose, cohort 3 is 5 subjects who are receiving a 15 µg with a fast-degrading implant, and cohort 4 is 5 subjects who are receiving a 5 µg with a fast-degrading implant.</w:t>
      </w:r>
    </w:p>
    <w:p>
      <w:pPr>
        <w:spacing w:after="0" w:line="192" w:lineRule="exact"/>
        <w:rPr>
          <w:sz w:val="20"/>
          <w:szCs w:val="20"/>
          <w:color w:val="auto"/>
        </w:rPr>
      </w:pPr>
    </w:p>
    <w:p>
      <w:pPr>
        <w:ind w:left="60" w:right="199" w:firstLine="441"/>
        <w:spacing w:after="0" w:line="311" w:lineRule="auto"/>
        <w:rPr>
          <w:sz w:val="20"/>
          <w:szCs w:val="20"/>
          <w:color w:val="auto"/>
        </w:rPr>
      </w:pPr>
      <w:r>
        <w:rPr>
          <w:rFonts w:ascii="Arial" w:cs="Arial" w:eastAsia="Arial" w:hAnsi="Arial"/>
          <w:sz w:val="16"/>
          <w:szCs w:val="16"/>
          <w:color w:val="auto"/>
        </w:rPr>
        <w:t>We presented interim data on all four patient cohorts at the Glaucoma360 Virtual Conference in January 2021. In this Phase 1 clinical trial, with a single implant, several subjects were able to achieve a decrease in IOP at least as large as that of the current standard of care. Many subjects exhibited an IOP-lowering effect of more than six months 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color w:val="auto"/>
        </w:rPr>
        <w:t>cohorts 1 and 2 and between three and six months in cohorts 3 and 4, the cohorts in which the fast-degrading implant was used. In the clinical trial, OTX-TIC was observed to have a generally favorable safety profile, with no reported ocular serious adverse events. Corneal health, as measured by endothelial cell counts, pachymetry assessments and slit lamp examinations did not indicate a clinically meaningful change from baseline.</w:t>
      </w:r>
    </w:p>
    <w:p>
      <w:pPr>
        <w:spacing w:after="0" w:line="171" w:lineRule="exact"/>
        <w:rPr>
          <w:sz w:val="20"/>
          <w:szCs w:val="20"/>
          <w:color w:val="auto"/>
        </w:rPr>
      </w:pPr>
    </w:p>
    <w:p>
      <w:pPr>
        <w:ind w:left="60" w:right="99" w:firstLine="441"/>
        <w:spacing w:after="0" w:line="255" w:lineRule="auto"/>
        <w:rPr>
          <w:sz w:val="20"/>
          <w:szCs w:val="20"/>
          <w:color w:val="auto"/>
        </w:rPr>
      </w:pPr>
      <w:r>
        <w:rPr>
          <w:rFonts w:ascii="Arial" w:cs="Arial" w:eastAsia="Arial" w:hAnsi="Arial"/>
          <w:sz w:val="18"/>
          <w:szCs w:val="18"/>
          <w:color w:val="auto"/>
        </w:rPr>
        <w:t>In mid-2021, we plan to initiate a Phase 2 clinical trial to evaluate two formulations of OTX-TIC for the treatment of glaucoma or ocular hypertension in patients compared to Durysta (Allergan). The non-study eye of each patient will receive a topical prostaglandin daily. Certain subjects in the Phase 2 clinical trial will receive the same formulation used in cohort 1 of the Phase 1 clinical trial, containing a 26 µg dose of drug and utilizing a standard implant, and others will receive the same formulation used in cohort 4 of the Phase 1 clinical trial, containing a 5 µg dose of drug and utilizing a fast-degrading implant.</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Ocular Surface Disease Programs</w:t>
      </w:r>
    </w:p>
    <w:p>
      <w:pPr>
        <w:spacing w:after="0" w:line="225" w:lineRule="exact"/>
        <w:rPr>
          <w:sz w:val="20"/>
          <w:szCs w:val="20"/>
          <w:color w:val="auto"/>
        </w:rPr>
      </w:pPr>
    </w:p>
    <w:p>
      <w:pPr>
        <w:ind w:left="60" w:right="239" w:firstLine="441"/>
        <w:spacing w:after="0" w:line="279" w:lineRule="auto"/>
        <w:rPr>
          <w:sz w:val="20"/>
          <w:szCs w:val="20"/>
          <w:color w:val="auto"/>
        </w:rPr>
      </w:pPr>
      <w:r>
        <w:rPr>
          <w:rFonts w:ascii="Arial" w:cs="Arial" w:eastAsia="Arial" w:hAnsi="Arial"/>
          <w:sz w:val="17"/>
          <w:szCs w:val="17"/>
          <w:color w:val="auto"/>
        </w:rPr>
        <w:t>We are engaged in the development of formulations of our hydrogel administered via intracanalicular inserts to address large markets for diseases and conditions of the surface of the eye. Our initial development efforts are focused on the use of our extended-delivery hydrogel in combination with well-known and well-understood drugs (cyclosporine and corticosteroids) for the treatment of dry eye disease and allergic conjunctivitis.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Dry Eye Disease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OTX-CSI (cyclosporine intracanalicular insert)</w:t>
      </w:r>
    </w:p>
    <w:p>
      <w:pPr>
        <w:spacing w:after="0" w:line="225" w:lineRule="exact"/>
        <w:rPr>
          <w:sz w:val="20"/>
          <w:szCs w:val="20"/>
          <w:color w:val="auto"/>
        </w:rPr>
      </w:pPr>
    </w:p>
    <w:p>
      <w:pPr>
        <w:ind w:left="60" w:right="59" w:firstLine="486"/>
        <w:spacing w:after="0" w:line="259" w:lineRule="auto"/>
        <w:rPr>
          <w:sz w:val="20"/>
          <w:szCs w:val="20"/>
          <w:color w:val="auto"/>
        </w:rPr>
      </w:pPr>
      <w:r>
        <w:rPr>
          <w:rFonts w:ascii="Arial" w:cs="Arial" w:eastAsia="Arial" w:hAnsi="Arial"/>
          <w:sz w:val="18"/>
          <w:szCs w:val="18"/>
          <w:color w:val="auto"/>
        </w:rPr>
        <w:t>Our product candidate, OTX-CSI, incorporates the FDA-approved immunomodulator cyclosporine as a preservative-free active pharmaceutical ingredient into a hydrogel, drug-eluting intracanalicular insert. The product candidate is designed for a duration of three to four months for patients suffering from moderate to severe dry eye and to be administered by a physician as a bioresorbable intracanalicular insert.</w:t>
      </w:r>
    </w:p>
    <w:p>
      <w:pPr>
        <w:spacing w:after="0" w:line="187" w:lineRule="exact"/>
        <w:rPr>
          <w:sz w:val="20"/>
          <w:szCs w:val="20"/>
          <w:color w:val="auto"/>
        </w:rPr>
      </w:pPr>
    </w:p>
    <w:p>
      <w:pPr>
        <w:ind w:left="60" w:right="299" w:firstLine="486"/>
        <w:spacing w:after="0" w:line="259" w:lineRule="auto"/>
        <w:rPr>
          <w:sz w:val="20"/>
          <w:szCs w:val="20"/>
          <w:color w:val="auto"/>
        </w:rPr>
      </w:pPr>
      <w:r>
        <w:rPr>
          <w:rFonts w:ascii="Arial" w:cs="Arial" w:eastAsia="Arial" w:hAnsi="Arial"/>
          <w:sz w:val="18"/>
          <w:szCs w:val="18"/>
          <w:color w:val="auto"/>
        </w:rPr>
        <w:t>In October 2020, we reported topline data from our five subject Phase 1 clinical trial evaluating OTX-CSI in the treatment of dry eye disease. All subjects completed the 16-week study period with no drop-outs. There were no serious adverse effects reported. The inserts were observed to be generally well-tolerated, and there were no adverse events of stinging, irritation, blurred vision or tearing reported or observed.</w:t>
      </w:r>
    </w:p>
    <w:p>
      <w:pPr>
        <w:spacing w:after="0" w:line="187" w:lineRule="exact"/>
        <w:rPr>
          <w:sz w:val="20"/>
          <w:szCs w:val="20"/>
          <w:color w:val="auto"/>
        </w:rPr>
      </w:pPr>
    </w:p>
    <w:p>
      <w:pPr>
        <w:ind w:left="60" w:right="79" w:firstLine="486"/>
        <w:spacing w:after="0" w:line="254" w:lineRule="auto"/>
        <w:rPr>
          <w:sz w:val="20"/>
          <w:szCs w:val="20"/>
          <w:color w:val="auto"/>
        </w:rPr>
      </w:pPr>
      <w:r>
        <w:rPr>
          <w:rFonts w:ascii="Arial" w:cs="Arial" w:eastAsia="Arial" w:hAnsi="Arial"/>
          <w:sz w:val="18"/>
          <w:szCs w:val="18"/>
          <w:color w:val="auto"/>
        </w:rPr>
        <w:t>In September 2020, we dosed the first patients in a Phase 2 clinical trial designed to assess the safety, tolerability, and durability and to evaluate the efficacy of OTX-CSI for the chronic treatment of dry eye disease. The Phase 2 clinical trial is a U.S.-based, randomized, double-masked, multi-center trial evaluating two different formulations of OTX-CSI compared to a vehicle insert in approximately 140 subjects who are to be followed for a period of approximately 16 weeks. Endpoints include tear production as measured by the Schirmer’s test; signs of dry eye disease as measured by corneal fluorescein staining; and symptoms of dry eye disease as measured by the visual analog scale, or VAS, eye dryness severity score and the VAS dry eye frequency score. We currently anticipate receiving topline data from this Phase 2 clinical trial by year-end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OTX-DED (dexamethasone intracanalicular insert)</w:t>
      </w:r>
    </w:p>
    <w:p>
      <w:pPr>
        <w:spacing w:after="0" w:line="225" w:lineRule="exact"/>
        <w:rPr>
          <w:sz w:val="20"/>
          <w:szCs w:val="20"/>
          <w:color w:val="auto"/>
        </w:rPr>
      </w:pPr>
    </w:p>
    <w:p>
      <w:pPr>
        <w:ind w:left="60" w:right="139" w:firstLine="486"/>
        <w:spacing w:after="0" w:line="273" w:lineRule="auto"/>
        <w:rPr>
          <w:sz w:val="20"/>
          <w:szCs w:val="20"/>
          <w:color w:val="auto"/>
        </w:rPr>
      </w:pPr>
      <w:r>
        <w:rPr>
          <w:rFonts w:ascii="Arial" w:cs="Arial" w:eastAsia="Arial" w:hAnsi="Arial"/>
          <w:sz w:val="17"/>
          <w:szCs w:val="17"/>
          <w:color w:val="auto"/>
        </w:rPr>
        <w:t>Our product candidate OTX-DED incorporates the FDA-approved corticosteroid dexamethasone as a preservative-free active pharmaceutical ingredient in a hydrogel, drug-eluting intracanalicular insert. OTX-DED incorporates the same active drug as DEXTENZA, but it includes a lower dose of the drug, delivers it via a smaller insert, and is designed to release it over a period of two to three weeks, compared with up to thirty days in the case of DEXTENZA. We believe that OTX-DED will address several of the current limitations of existing dry eye disease steroid treatments, the toxicity associated with preservatives, and the potential for abuse of topical steroids.</w:t>
      </w:r>
    </w:p>
    <w:p>
      <w:pPr>
        <w:spacing w:after="0" w:line="178" w:lineRule="exact"/>
        <w:rPr>
          <w:sz w:val="20"/>
          <w:szCs w:val="20"/>
          <w:color w:val="auto"/>
        </w:rPr>
      </w:pPr>
    </w:p>
    <w:p>
      <w:pPr>
        <w:ind w:left="60" w:right="459" w:firstLine="486"/>
        <w:spacing w:after="0" w:line="279" w:lineRule="auto"/>
        <w:rPr>
          <w:sz w:val="20"/>
          <w:szCs w:val="20"/>
          <w:color w:val="auto"/>
        </w:rPr>
      </w:pPr>
      <w:r>
        <w:rPr>
          <w:rFonts w:ascii="Arial" w:cs="Arial" w:eastAsia="Arial" w:hAnsi="Arial"/>
          <w:sz w:val="17"/>
          <w:szCs w:val="17"/>
          <w:color w:val="auto"/>
        </w:rPr>
        <w:t>In February 2021, we dosed the first patient in a U.S.-based prospective, randomized, double-masked, vehicle-controlled Phase 2 clinical trial evaluating two different formulations of OTX-DED for the short-term treatment of the signs and symptoms of dry eye disease compared to a hydrogel insert in approximately 150 subjects. We anticipate receiving topline data from this Phase 2 clinical trial in the first half of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Allergic Conjunctivitis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DEXTENZA (dexamethasone ophthalmic insert) for the Treatment of Ocular Itching Associated with Allergic Conjunctivitis</w:t>
      </w:r>
    </w:p>
    <w:p>
      <w:pPr>
        <w:spacing w:after="0" w:line="248" w:lineRule="exact"/>
        <w:rPr>
          <w:sz w:val="20"/>
          <w:szCs w:val="20"/>
          <w:color w:val="auto"/>
        </w:rPr>
      </w:pPr>
    </w:p>
    <w:p>
      <w:pPr>
        <w:ind w:left="60" w:right="299" w:firstLine="441"/>
        <w:spacing w:after="0" w:line="279" w:lineRule="auto"/>
        <w:rPr>
          <w:sz w:val="20"/>
          <w:szCs w:val="20"/>
          <w:color w:val="auto"/>
        </w:rPr>
      </w:pPr>
      <w:r>
        <w:rPr>
          <w:rFonts w:ascii="Arial" w:cs="Arial" w:eastAsia="Arial" w:hAnsi="Arial"/>
          <w:sz w:val="17"/>
          <w:szCs w:val="17"/>
          <w:color w:val="auto"/>
        </w:rPr>
        <w:t>DEXTENZA, incorporating the corticosteroid dexamethasone, is our FDA-approved intracanalicular insert for the treatment of post-surgical ocular inflammation and pain. We believe that allergic conjunctivitis represents a discrete potential market for DEXTENZA as a physician administered, hands-free, therapy administered in the office setting and designed to release preservative-free dexamethasone to the ocular surface for up to 30 days.</w:t>
      </w:r>
    </w:p>
    <w:p>
      <w:pPr>
        <w:spacing w:after="0" w:line="171" w:lineRule="exact"/>
        <w:rPr>
          <w:sz w:val="20"/>
          <w:szCs w:val="20"/>
          <w:color w:val="auto"/>
        </w:rPr>
      </w:pPr>
    </w:p>
    <w:p>
      <w:pPr>
        <w:ind w:left="60" w:right="79" w:firstLine="441"/>
        <w:spacing w:after="0" w:line="259" w:lineRule="auto"/>
        <w:rPr>
          <w:sz w:val="20"/>
          <w:szCs w:val="20"/>
          <w:color w:val="auto"/>
        </w:rPr>
      </w:pPr>
      <w:r>
        <w:rPr>
          <w:rFonts w:ascii="Arial" w:cs="Arial" w:eastAsia="Arial" w:hAnsi="Arial"/>
          <w:sz w:val="18"/>
          <w:szCs w:val="18"/>
          <w:color w:val="auto"/>
        </w:rPr>
        <w:t>In April 2020, we reported topline results of a 96-subject, third pivotal Phase 3 clinical trial evaluating DEXTENZA for the treatment of ocular itching associated with allergic conjunctivitis. DEXTENZA-treated subjects demonstrated a statistically significant (p-value &lt; 0.0001) difference in mean ocular itching scores, compared to vehicle-treated subjects, at all three pre-specified time points.</w:t>
      </w:r>
    </w:p>
    <w:p>
      <w:pPr>
        <w:spacing w:after="0" w:line="187" w:lineRule="exact"/>
        <w:rPr>
          <w:sz w:val="20"/>
          <w:szCs w:val="20"/>
          <w:color w:val="auto"/>
        </w:rPr>
      </w:pPr>
    </w:p>
    <w:p>
      <w:pPr>
        <w:ind w:left="60" w:right="59" w:firstLine="441"/>
        <w:spacing w:after="0" w:line="257" w:lineRule="auto"/>
        <w:rPr>
          <w:sz w:val="20"/>
          <w:szCs w:val="20"/>
          <w:color w:val="auto"/>
        </w:rPr>
      </w:pPr>
      <w:r>
        <w:rPr>
          <w:rFonts w:ascii="Arial" w:cs="Arial" w:eastAsia="Arial" w:hAnsi="Arial"/>
          <w:sz w:val="18"/>
          <w:szCs w:val="18"/>
          <w:color w:val="auto"/>
        </w:rPr>
        <w:t>In the fourth quarter of 2020, we filed a supplemental new drug application, or sNDA, for DEXTENZA to include the treatment of ocular itching associated with allergic conjunctivitis as an additional indication. The FDA has accepted our sNDA for filing and has established a target action date under the Prescription Drug User Fee Act, commonly known as PDUFA, of October 18, 2021. If our sNDA is approved, we expect to launch DEXTENZA for the treatment of ocular itching associated with allergic conjunctivitis in the first half of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Post-Surgical Ocular Inflammation and Pain</w:t>
      </w:r>
    </w:p>
    <w:p>
      <w:pPr>
        <w:spacing w:after="0" w:line="225"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i w:val="1"/>
          <w:iCs w:val="1"/>
          <w:color w:val="auto"/>
        </w:rPr>
        <w:t>DEXTENZA (dexamethasone ophthalmic insert) 0.4 mg for intracanalicular use for the Treatment of Post-Surgical Ocular Inflammation and Pain</w:t>
      </w:r>
    </w:p>
    <w:p>
      <w:pPr>
        <w:spacing w:after="0" w:line="170" w:lineRule="exact"/>
        <w:rPr>
          <w:sz w:val="20"/>
          <w:szCs w:val="20"/>
          <w:color w:val="auto"/>
        </w:rPr>
      </w:pPr>
    </w:p>
    <w:p>
      <w:pPr>
        <w:ind w:left="60" w:right="159" w:firstLine="441"/>
        <w:spacing w:after="0" w:line="257" w:lineRule="auto"/>
        <w:rPr>
          <w:sz w:val="20"/>
          <w:szCs w:val="20"/>
          <w:color w:val="auto"/>
        </w:rPr>
      </w:pPr>
      <w:r>
        <w:rPr>
          <w:rFonts w:ascii="Arial" w:cs="Arial" w:eastAsia="Arial" w:hAnsi="Arial"/>
          <w:sz w:val="18"/>
          <w:szCs w:val="18"/>
          <w:color w:val="auto"/>
        </w:rPr>
        <w:t>As described above, DEXTENZA incorporates the FDA-approved corticosteroid dexamethasone as a preservative-free active pharmaceutical ingredient into a hydrogel, drug-eluting intracanalicular insert for the treatment of post-surgical ocular inflammation and pain. We commercially launched DEXTENZA in the United States in July 2019. DEXTENZA is the first FDA-approved intracanalicular insert delivering dexamethasone to treat post-surgical ocular inflammation and pain for up to 30 days with a single administration.</w:t>
      </w:r>
    </w:p>
    <w:p>
      <w:pPr>
        <w:spacing w:after="0" w:line="161" w:lineRule="exact"/>
        <w:rPr>
          <w:sz w:val="20"/>
          <w:szCs w:val="20"/>
          <w:color w:val="auto"/>
        </w:rPr>
      </w:pPr>
    </w:p>
    <w:p>
      <w:pPr>
        <w:ind w:left="60" w:right="239" w:firstLine="441"/>
        <w:spacing w:after="0" w:line="257" w:lineRule="auto"/>
        <w:rPr>
          <w:sz w:val="20"/>
          <w:szCs w:val="20"/>
          <w:color w:val="auto"/>
        </w:rPr>
      </w:pPr>
      <w:r>
        <w:rPr>
          <w:rFonts w:ascii="Arial" w:cs="Arial" w:eastAsia="Arial" w:hAnsi="Arial"/>
          <w:sz w:val="18"/>
          <w:szCs w:val="18"/>
          <w:color w:val="auto"/>
        </w:rPr>
        <w:t>In September 2020, we announced that we had dosed the first patients in a Phase 3 clinical trial evaluating DEXTENZA for the treatment of post-surgical ocular inflammation and pain in children following cataract surgery. This planned clinical trial is a post-approval requirement of the FDA in accordance with the Pediatric Research Equity Act of 2003, in connection with the FDA’s prior approval of DEXTENZA for the treatment of inflammation and pain following ophthalmic surgery in adults.</w:t>
      </w:r>
    </w:p>
    <w:p>
      <w:pPr>
        <w:spacing w:after="0" w:line="188" w:lineRule="exact"/>
        <w:rPr>
          <w:sz w:val="20"/>
          <w:szCs w:val="20"/>
          <w:color w:val="auto"/>
        </w:rPr>
      </w:pPr>
    </w:p>
    <w:p>
      <w:pPr>
        <w:ind w:left="60" w:right="119" w:firstLine="441"/>
        <w:spacing w:after="0" w:line="301" w:lineRule="auto"/>
        <w:rPr>
          <w:sz w:val="20"/>
          <w:szCs w:val="20"/>
          <w:color w:val="auto"/>
        </w:rPr>
      </w:pPr>
      <w:r>
        <w:rPr>
          <w:rFonts w:ascii="Arial" w:cs="Arial" w:eastAsia="Arial" w:hAnsi="Arial"/>
          <w:sz w:val="16"/>
          <w:szCs w:val="16"/>
          <w:color w:val="auto"/>
        </w:rPr>
        <w:t>Additionally, we have received proposals for, and plan to support, several investigator-initiated trials evaluating DEXTENZA in different clinical situations. To date, third-party clinical investigators have initiated over 25 trials to study the use of DEXTENZA in cataract surgery, other ophthalmic surgeries and other potential indications. Seven of the trials have completed enrollment, and the remaining trials are actively enrolling and treated patients are being followed.</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ReSure Sealant</w:t>
      </w:r>
    </w:p>
    <w:p>
      <w:pPr>
        <w:spacing w:after="0" w:line="22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In 2014, we commercially launched ReSure Sealant in the United States as a device approved to prevent wound leaks in corneal incisions following cataract surgery. In the pivotal clinical trials that formed the basis for FDA approval, ReSure Sealant provided superior wound closure and a better safety profile than sutured closure.</w:t>
      </w:r>
    </w:p>
    <w:p>
      <w:pPr>
        <w:spacing w:after="0" w:line="165" w:lineRule="exact"/>
        <w:rPr>
          <w:sz w:val="20"/>
          <w:szCs w:val="20"/>
          <w:color w:val="auto"/>
        </w:rPr>
      </w:pPr>
    </w:p>
    <w:p>
      <w:pPr>
        <w:ind w:left="60" w:right="199" w:firstLine="441"/>
        <w:spacing w:after="0" w:line="293" w:lineRule="auto"/>
        <w:rPr>
          <w:sz w:val="20"/>
          <w:szCs w:val="20"/>
          <w:color w:val="auto"/>
        </w:rPr>
      </w:pPr>
      <w:r>
        <w:rPr>
          <w:rFonts w:ascii="Arial" w:cs="Arial" w:eastAsia="Arial" w:hAnsi="Arial"/>
          <w:sz w:val="16"/>
          <w:szCs w:val="16"/>
          <w:color w:val="auto"/>
        </w:rPr>
        <w:t>The FDA required two post-approval studies as a condition for approval of our premarket approval, or PMA, application for ReSure Sealant. The FDA has confirmed that first post-approval study, identified as the Clinical PAS, has been completed. The second post-approval study, which we refer to as the Device Exposure Registry Study, was a retrospective analysis of the IRIS Registry, comparing endophthalmitis rates from sites that purchased ReSure Sealant versus those sites that did not. We completed the retrospective study in accordance with our agreement with the FDA and submitted the final study report for the Device Exposure Registry Study to the FDA in January 2021. We anticipate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that the FDA will review the report within 90 days of our submission and notify us as to whether our obligation to conduct the post-approval study has been satisfied.</w:t>
      </w:r>
    </w:p>
    <w:p>
      <w:pPr>
        <w:spacing w:after="0" w:line="170" w:lineRule="exact"/>
        <w:rPr>
          <w:sz w:val="20"/>
          <w:szCs w:val="20"/>
          <w:color w:val="auto"/>
        </w:rPr>
      </w:pPr>
    </w:p>
    <w:p>
      <w:pPr>
        <w:jc w:val="both"/>
        <w:ind w:left="60" w:right="299" w:firstLine="441"/>
        <w:spacing w:after="0" w:line="263" w:lineRule="auto"/>
        <w:rPr>
          <w:sz w:val="20"/>
          <w:szCs w:val="20"/>
          <w:color w:val="auto"/>
        </w:rPr>
      </w:pPr>
      <w:r>
        <w:rPr>
          <w:rFonts w:ascii="Arial" w:cs="Arial" w:eastAsia="Arial" w:hAnsi="Arial"/>
          <w:sz w:val="18"/>
          <w:szCs w:val="18"/>
          <w:color w:val="auto"/>
        </w:rPr>
        <w:t>While ReSure Sealant remains commercially available in the United States, commercial and sales support for this product are modest at this time. We have received only limited revenues from ReSure Sealant to date and anticipate only limited sales for 2021.</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AffaMed License Agreement</w:t>
      </w:r>
    </w:p>
    <w:p>
      <w:pPr>
        <w:spacing w:after="0" w:line="225" w:lineRule="exact"/>
        <w:rPr>
          <w:sz w:val="20"/>
          <w:szCs w:val="20"/>
          <w:color w:val="auto"/>
        </w:rPr>
      </w:pPr>
    </w:p>
    <w:p>
      <w:pPr>
        <w:ind w:left="60" w:right="119" w:firstLine="441"/>
        <w:spacing w:after="0" w:line="287" w:lineRule="auto"/>
        <w:rPr>
          <w:sz w:val="20"/>
          <w:szCs w:val="20"/>
          <w:color w:val="auto"/>
        </w:rPr>
      </w:pPr>
      <w:r>
        <w:rPr>
          <w:rFonts w:ascii="Arial" w:cs="Arial" w:eastAsia="Arial" w:hAnsi="Arial"/>
          <w:sz w:val="16"/>
          <w:szCs w:val="16"/>
          <w:color w:val="auto"/>
        </w:rPr>
        <w:t>In October 2020, we entered into a license agreement and collaboration with AffaMed Therapeutics Limited, or AffaMed, for the development and commercialization of DEXTENZA and OTX-TIC in mainland China, Hong Kong, Macau, and Taiwan; South Korea; and the ASEAN markets (Brunei, Cambodia, Indonesia, Laos, Malaysia, Myanmar, the Philippines, Singapore, Thailand and Vietnam). Under the terms of the agreement, we received an upfront payment of $12 million and are eligible to receive development, regulatory and commercial milestone payments and clinical development support payments of up to $91 million in the aggregate, as well as royalties from future product sales. Royalties are tiered and will range from the low teens to low twenty percent range. In return, we agreed to grant AffaMed exclusive rights to develop and commercialize DEXTENZA for the treatment of post-surgical inflammation and pain following ophthalmic surgery and ocular itching in patients with allergic conjunctivitis, and OTX-TIC for the reduction of elevated intraocular pressure in patients with primary open-angle glaucoma or ocular hypertension in specified Asian markets. We retain the right to develop and commercialize DEXTENZA and OTX-TIC in all other global markets.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Additional Potential Areas for Growth</w:t>
      </w:r>
    </w:p>
    <w:p>
      <w:pPr>
        <w:spacing w:after="0" w:line="225" w:lineRule="exact"/>
        <w:rPr>
          <w:sz w:val="20"/>
          <w:szCs w:val="20"/>
          <w:color w:val="auto"/>
        </w:rPr>
      </w:pPr>
    </w:p>
    <w:p>
      <w:pPr>
        <w:ind w:left="60" w:right="199" w:firstLine="441"/>
        <w:spacing w:after="0" w:line="273" w:lineRule="auto"/>
        <w:rPr>
          <w:sz w:val="20"/>
          <w:szCs w:val="20"/>
          <w:color w:val="auto"/>
        </w:rPr>
      </w:pPr>
      <w:r>
        <w:rPr>
          <w:rFonts w:ascii="Arial" w:cs="Arial" w:eastAsia="Arial" w:hAnsi="Arial"/>
          <w:sz w:val="17"/>
          <w:szCs w:val="17"/>
          <w:color w:val="auto"/>
        </w:rPr>
        <w:t>We continue to leverage the potential of our hydrogel platform to explore areas for growth with our focus on formulating, developing and commercializing innovative therapies for diseases and conditions of the eye. In September 2018, we entered into a second amended and restated license agreement, or Second Amended Agreement, with Incept LLC, an intellectual property holding company, or Incept. The Second Amended Agreement expanded the scope of our intellectual property license to include products delivered for the treatment of acute post-surgical pain or for the treatment of ear, nose and/or throat diseases or conditions, subject to specified exceptions.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Background</w:t>
      </w:r>
    </w:p>
    <w:p>
      <w:pPr>
        <w:spacing w:after="0" w:line="229" w:lineRule="exact"/>
        <w:rPr>
          <w:sz w:val="20"/>
          <w:szCs w:val="20"/>
          <w:color w:val="auto"/>
        </w:rPr>
      </w:pPr>
    </w:p>
    <w:p>
      <w:pPr>
        <w:ind w:left="60" w:right="139" w:firstLine="441"/>
        <w:spacing w:after="0" w:line="289" w:lineRule="auto"/>
        <w:rPr>
          <w:sz w:val="20"/>
          <w:szCs w:val="20"/>
          <w:color w:val="auto"/>
        </w:rPr>
      </w:pPr>
      <w:r>
        <w:rPr>
          <w:rFonts w:ascii="Arial" w:cs="Arial" w:eastAsia="Arial" w:hAnsi="Arial"/>
          <w:sz w:val="16"/>
          <w:szCs w:val="16"/>
          <w:color w:val="auto"/>
        </w:rPr>
        <w:t>Our clinical stage product candidates and our marketed products are based on a proprietary bioresorbable hydrogel technology platform that uses polyethylene glycol, or PEG, as a key component. Bioresorbable materials gradually break down in the body into non-toxic, water soluble compounds that are cleared by normal biological processes. PEG is used in many pharmaceutical products and is widely considered to be safe and biocompatible. Our technology platform allows us to tailor the physical properties, drug release profiles and bioresorption rates of our hydrogels to meet the needs of specific clinical indications. We have used this platform to engineer each of our intracanalicular insert, intracameral implant, and intravitreal implant product candidates; our suprachoroidal formulations; and ReSure Sealant. Our technical capabilities include a deep understanding of the polymer chemistry of PEG-based hydrogels and the design of the specialized manufacturing processes required to achieve a reliable, preservative-free and high purity product.</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Product Pipeline</w:t>
      </w:r>
    </w:p>
    <w:p>
      <w:pPr>
        <w:spacing w:after="0" w:line="225" w:lineRule="exact"/>
        <w:rPr>
          <w:sz w:val="20"/>
          <w:szCs w:val="20"/>
          <w:color w:val="auto"/>
        </w:rPr>
      </w:pPr>
    </w:p>
    <w:p>
      <w:pPr>
        <w:ind w:left="60" w:right="99" w:firstLine="441"/>
        <w:spacing w:after="0" w:line="301" w:lineRule="auto"/>
        <w:rPr>
          <w:sz w:val="20"/>
          <w:szCs w:val="20"/>
          <w:color w:val="auto"/>
        </w:rPr>
      </w:pPr>
      <w:r>
        <w:rPr>
          <w:rFonts w:ascii="Arial" w:cs="Arial" w:eastAsia="Arial" w:hAnsi="Arial"/>
          <w:sz w:val="16"/>
          <w:szCs w:val="16"/>
          <w:color w:val="auto"/>
        </w:rPr>
        <w:t>The following table summarizes the status of our key product development programs and DEXTENZA, our marketed product. We hold worldwide exclusive commercial rights to the core technology underlying all of our products in development and have not granted commercial rights to any marketing partners other than the option on commercial rights we granted to Regeneron for the delivery of protein-based anti-VEGF drugs in our hydrogel depot for the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19"/>
        <w:spacing w:after="0" w:line="342" w:lineRule="auto"/>
        <w:rPr>
          <w:sz w:val="20"/>
          <w:szCs w:val="20"/>
          <w:color w:val="auto"/>
        </w:rPr>
      </w:pPr>
      <w:r>
        <w:rPr>
          <w:rFonts w:ascii="Arial" w:cs="Arial" w:eastAsia="Arial" w:hAnsi="Arial"/>
          <w:sz w:val="16"/>
          <w:szCs w:val="16"/>
          <w:color w:val="auto"/>
        </w:rPr>
        <w:t>treatment of retinal diseases and a license agreement and collaboration with AffaMed for the development and commercialization of DEXTENZA and OTX-TIC in the geographies agreed to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87630</wp:posOffset>
            </wp:positionV>
            <wp:extent cx="5537835" cy="3900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783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0" w:right="219" w:firstLine="441"/>
        <w:spacing w:after="0" w:line="263" w:lineRule="auto"/>
        <w:rPr>
          <w:sz w:val="20"/>
          <w:szCs w:val="20"/>
          <w:color w:val="auto"/>
        </w:rPr>
      </w:pPr>
      <w:r>
        <w:rPr>
          <w:rFonts w:ascii="Arial" w:cs="Arial" w:eastAsia="Arial" w:hAnsi="Arial"/>
          <w:sz w:val="18"/>
          <w:szCs w:val="18"/>
          <w:color w:val="auto"/>
        </w:rPr>
        <w:t>We are pursuing three overall strategic goals: to make prescription eye drops obsolete; to make immediate release back-of-the-eye injections obsolete; and to extend our hydrogel platform technology for use beyond the eye to other areas of the body. The key tactics of our strategy to achieve these goals are:</w:t>
      </w:r>
    </w:p>
    <w:p>
      <w:pPr>
        <w:spacing w:after="0" w:line="184" w:lineRule="exact"/>
        <w:rPr>
          <w:sz w:val="20"/>
          <w:szCs w:val="20"/>
          <w:color w:val="auto"/>
        </w:rPr>
      </w:pPr>
    </w:p>
    <w:p>
      <w:pPr>
        <w:ind w:left="820" w:right="159" w:hanging="329"/>
        <w:spacing w:after="0" w:line="25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Advance our four core clinical development programs through Phase 2. </w:t>
      </w:r>
      <w:r>
        <w:rPr>
          <w:rFonts w:ascii="Arial" w:cs="Arial" w:eastAsia="Arial" w:hAnsi="Arial"/>
          <w:sz w:val="18"/>
          <w:szCs w:val="18"/>
          <w:color w:val="auto"/>
        </w:rPr>
        <w:t>We believe the greatest potential value</w:t>
      </w:r>
      <w:r>
        <w:rPr>
          <w:rFonts w:ascii="Arial" w:cs="Arial" w:eastAsia="Arial" w:hAnsi="Arial"/>
          <w:sz w:val="18"/>
          <w:szCs w:val="18"/>
          <w:i w:val="1"/>
          <w:iCs w:val="1"/>
          <w:color w:val="auto"/>
        </w:rPr>
        <w:t xml:space="preserve"> </w:t>
      </w:r>
      <w:r>
        <w:rPr>
          <w:rFonts w:ascii="Arial" w:cs="Arial" w:eastAsia="Arial" w:hAnsi="Arial"/>
          <w:sz w:val="18"/>
          <w:szCs w:val="18"/>
          <w:color w:val="auto"/>
        </w:rPr>
        <w:t>inflection points for us are the topline data readouts of the Phase 2 clinical trials of our four core clinical development programs: OTX-TKI for the treatment of wet AMD, OTX-TIC for the treatment of glaucoma or ocular hypertension, OTX-CSI for the treatment of dry eye disease, and OTX-DED for the short-term treatment of the signs and symptoms of dry eye disease.</w:t>
      </w:r>
    </w:p>
    <w:p>
      <w:pPr>
        <w:spacing w:after="0" w:line="187" w:lineRule="exact"/>
        <w:rPr>
          <w:rFonts w:ascii="Arial" w:cs="Arial" w:eastAsia="Arial" w:hAnsi="Arial"/>
          <w:sz w:val="18"/>
          <w:szCs w:val="18"/>
          <w:color w:val="auto"/>
        </w:rPr>
      </w:pPr>
    </w:p>
    <w:p>
      <w:pPr>
        <w:ind w:left="820" w:right="239" w:hanging="329"/>
        <w:spacing w:after="0" w:line="25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Expand Commercialization of DEXTENZA for the treatment of ocular inflammation and pain following ophthalmic surgery. </w:t>
      </w:r>
      <w:r>
        <w:rPr>
          <w:rFonts w:ascii="Arial" w:cs="Arial" w:eastAsia="Arial" w:hAnsi="Arial"/>
          <w:sz w:val="18"/>
          <w:szCs w:val="18"/>
          <w:color w:val="auto"/>
        </w:rPr>
        <w:t>We expect to grow our salesforce to increase our active number of accounts and penetrate</w:t>
      </w:r>
      <w:r>
        <w:rPr>
          <w:rFonts w:ascii="Arial" w:cs="Arial" w:eastAsia="Arial" w:hAnsi="Arial"/>
          <w:sz w:val="18"/>
          <w:szCs w:val="18"/>
          <w:i w:val="1"/>
          <w:iCs w:val="1"/>
          <w:color w:val="auto"/>
        </w:rPr>
        <w:t xml:space="preserve"> </w:t>
      </w:r>
      <w:r>
        <w:rPr>
          <w:rFonts w:ascii="Arial" w:cs="Arial" w:eastAsia="Arial" w:hAnsi="Arial"/>
          <w:sz w:val="18"/>
          <w:szCs w:val="18"/>
          <w:color w:val="auto"/>
        </w:rPr>
        <w:t>each account more deeply. We intend to focus sales efforts on ambulatory surgical centers, or ASCs, that generate the largest volumes of cataract surgeries in the United States. We are also seeking to expand the label for DEXTENZA—beginning with our sNDA to add ocular itching associated with allergic conjunctivitis as an approved indication—to permit the product’s use outside of the surgical setting and into ophthalmologists’ offices.</w:t>
      </w:r>
    </w:p>
    <w:p>
      <w:pPr>
        <w:spacing w:after="0" w:line="194" w:lineRule="exact"/>
        <w:rPr>
          <w:rFonts w:ascii="Arial" w:cs="Arial" w:eastAsia="Arial" w:hAnsi="Arial"/>
          <w:sz w:val="18"/>
          <w:szCs w:val="18"/>
          <w:color w:val="auto"/>
        </w:rPr>
      </w:pPr>
    </w:p>
    <w:p>
      <w:pPr>
        <w:jc w:val="both"/>
        <w:ind w:left="820" w:right="339" w:hanging="329"/>
        <w:spacing w:after="0" w:line="34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Apply our local programmed-release hydrogel-based technology to create additional proprietary solutions for ophthalmic diseases and conditions. In collaboration with Regeneron, we are conducting preclinical research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right="99"/>
        <w:spacing w:after="0" w:line="271" w:lineRule="auto"/>
        <w:rPr>
          <w:sz w:val="20"/>
          <w:szCs w:val="20"/>
          <w:color w:val="auto"/>
        </w:rPr>
      </w:pPr>
      <w:r>
        <w:rPr>
          <w:rFonts w:ascii="Arial" w:cs="Arial" w:eastAsia="Arial" w:hAnsi="Arial"/>
          <w:sz w:val="17"/>
          <w:szCs w:val="17"/>
          <w:color w:val="auto"/>
        </w:rPr>
        <w:t>and development activities regarding an extended-delivery formulation of the VEGF trap aflibercept, currently marketed under the brand name Eylea, to be delivered to the suprachoroidal space. We are assessing preclinical product candidates for the ophthalmic space that leverage not only our proprietary PEG-based bioresorbable hydrogel technology platform but also active pharmaceutical ingredients used in FDA-approved ophthalmic drugs that are or are expected to become available on a generic basis. Finally, we are frequently in discussions with other companies operating in the ophthalmic space regarding potential collaborations to combine our local programmed-release hydrogel technology with their proprietary drug formulations to address additional diseases and conditions of the eye.</w:t>
      </w:r>
    </w:p>
    <w:p>
      <w:pPr>
        <w:spacing w:after="0" w:line="178" w:lineRule="exact"/>
        <w:rPr>
          <w:sz w:val="20"/>
          <w:szCs w:val="20"/>
          <w:color w:val="auto"/>
        </w:rPr>
      </w:pPr>
    </w:p>
    <w:p>
      <w:pPr>
        <w:ind w:left="820" w:right="139" w:hanging="329"/>
        <w:spacing w:after="0" w:line="301"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Address rest-of-world commercial opportunities through licensing and collaborations agreements</w:t>
      </w:r>
      <w:r>
        <w:rPr>
          <w:rFonts w:ascii="Arial" w:cs="Arial" w:eastAsia="Arial" w:hAnsi="Arial"/>
          <w:sz w:val="16"/>
          <w:szCs w:val="16"/>
          <w:color w:val="auto"/>
        </w:rPr>
        <w:t>. In the fourth</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2020, we announced a license agreement and collaboration with AffaMed for the development and commercialization of DEXTENZA and OTX-TIC in specified Asian markets. From time to time, we may consider additional arrangements with other companies to address markets outside of the United States.</w:t>
      </w:r>
    </w:p>
    <w:p>
      <w:pPr>
        <w:spacing w:after="0" w:line="157" w:lineRule="exact"/>
        <w:rPr>
          <w:rFonts w:ascii="Arial" w:cs="Arial" w:eastAsia="Arial" w:hAnsi="Arial"/>
          <w:sz w:val="16"/>
          <w:szCs w:val="16"/>
          <w:color w:val="auto"/>
        </w:rPr>
      </w:pPr>
    </w:p>
    <w:p>
      <w:pPr>
        <w:ind w:left="820" w:right="139" w:hanging="329"/>
        <w:spacing w:after="0" w:line="255"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Utilize our hydrogel platform to enable local programmed-release of therapeutics to areas of the body outside the eye. </w:t>
      </w:r>
      <w:r>
        <w:rPr>
          <w:rFonts w:ascii="Arial" w:cs="Arial" w:eastAsia="Arial" w:hAnsi="Arial"/>
          <w:sz w:val="18"/>
          <w:szCs w:val="18"/>
          <w:color w:val="auto"/>
        </w:rPr>
        <w:t>We have licensed certain of Incept’s intellectual property rights for the development of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for the treatment of acute post-surgical pain or for the treatment of ear, nose and/or throat diseases or conditions, subject to specified exceptions. We intend to explore programs outside of the eye not only on our own but also potentially through collaborations with third parties who have expertise and experience with other therapeutics as well as other areas of the body.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Eye Disease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Eye disease can be caused by many factors and can affect both the front and back of the eye.</w:t>
      </w:r>
    </w:p>
    <w:p>
      <w:pPr>
        <w:spacing w:after="0" w:line="225" w:lineRule="exact"/>
        <w:rPr>
          <w:sz w:val="20"/>
          <w:szCs w:val="20"/>
          <w:color w:val="auto"/>
        </w:rPr>
      </w:pPr>
    </w:p>
    <w:p>
      <w:pPr>
        <w:ind w:left="60" w:right="99" w:firstLine="441"/>
        <w:spacing w:after="0" w:line="272" w:lineRule="auto"/>
        <w:rPr>
          <w:sz w:val="20"/>
          <w:szCs w:val="20"/>
          <w:color w:val="auto"/>
        </w:rPr>
      </w:pPr>
      <w:r>
        <w:rPr>
          <w:rFonts w:ascii="Arial" w:cs="Arial" w:eastAsia="Arial" w:hAnsi="Arial"/>
          <w:sz w:val="17"/>
          <w:szCs w:val="17"/>
          <w:color w:val="auto"/>
        </w:rPr>
        <w:t>The front of the human eye consists of the cornea on the surface of the eye, the lens and the aqueous humor, which is a transparent fluid that fills the anterior chamber between the lens and the cornea. The tissue surrounding the eye also serves important functions. There is a natural opening, called a punctum, located in the inner portion of each upper and lower eyelid near the nose. The puncta open into nasolacrimal ducts, which collect and drain tears. The conjunctiva is the membrane covering the inside of the eyelids and the white part of the eye, known as the sclera. It helps to protect the eye from microbes and to lubricate the eye. Diseases and conditions affecting the front of the eye have generally been treated with either surgery or with medications delivered to the ocular surface by eye drops.</w:t>
      </w:r>
    </w:p>
    <w:p>
      <w:pPr>
        <w:spacing w:after="0" w:line="177" w:lineRule="exact"/>
        <w:rPr>
          <w:sz w:val="20"/>
          <w:szCs w:val="20"/>
          <w:color w:val="auto"/>
        </w:rPr>
      </w:pPr>
    </w:p>
    <w:p>
      <w:pPr>
        <w:ind w:left="60" w:right="199" w:firstLine="441"/>
        <w:spacing w:after="0" w:line="301" w:lineRule="auto"/>
        <w:rPr>
          <w:sz w:val="20"/>
          <w:szCs w:val="20"/>
          <w:color w:val="auto"/>
        </w:rPr>
      </w:pPr>
      <w:r>
        <w:rPr>
          <w:rFonts w:ascii="Arial" w:cs="Arial" w:eastAsia="Arial" w:hAnsi="Arial"/>
          <w:sz w:val="16"/>
          <w:szCs w:val="16"/>
          <w:color w:val="auto"/>
        </w:rPr>
        <w:t>The back of the eye contains the retina, which is the light sensing layer of tissue; the vitreous humor, which is a transparent gel that fills the vitreous chamber between the lens and the retina; and the optic nerve, which transmits visual information from the retina to the brain. Eye disease can be caused by many factors and can affect both the front and back of the eye. Intravitreal injections or oral pills have typically been used to deliver medications to the back of the eye.</w:t>
      </w:r>
    </w:p>
    <w:p>
      <w:pPr>
        <w:spacing w:after="0" w:line="383" w:lineRule="exact"/>
        <w:rPr>
          <w:sz w:val="20"/>
          <w:szCs w:val="20"/>
          <w:color w:val="auto"/>
        </w:rPr>
      </w:pPr>
    </w:p>
    <w:p>
      <w:pPr>
        <w:ind w:left="1500"/>
        <w:spacing w:after="0"/>
        <w:tabs>
          <w:tab w:leader="none" w:pos="5860" w:val="left"/>
        </w:tabs>
        <w:rPr>
          <w:sz w:val="20"/>
          <w:szCs w:val="20"/>
          <w:color w:val="auto"/>
        </w:rPr>
      </w:pPr>
      <w:r>
        <w:rPr>
          <w:rFonts w:ascii="Arial" w:cs="Arial" w:eastAsia="Arial" w:hAnsi="Arial"/>
          <w:sz w:val="18"/>
          <w:szCs w:val="18"/>
          <w:b w:val="1"/>
          <w:bCs w:val="1"/>
          <w:color w:val="auto"/>
        </w:rPr>
        <w:t>Cross Section of Eye</w:t>
      </w:r>
      <w:r>
        <w:rPr>
          <w:sz w:val="20"/>
          <w:szCs w:val="20"/>
          <w:color w:val="auto"/>
        </w:rPr>
        <w:tab/>
      </w:r>
      <w:r>
        <w:rPr>
          <w:rFonts w:ascii="Arial" w:cs="Arial" w:eastAsia="Arial" w:hAnsi="Arial"/>
          <w:sz w:val="16"/>
          <w:szCs w:val="16"/>
          <w:b w:val="1"/>
          <w:bCs w:val="1"/>
          <w:color w:val="auto"/>
        </w:rPr>
        <w:t>Tear Drainage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85725</wp:posOffset>
            </wp:positionV>
            <wp:extent cx="4954905" cy="1928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54905" cy="192849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firstLine="486"/>
        <w:spacing w:after="0" w:line="263" w:lineRule="auto"/>
        <w:rPr>
          <w:sz w:val="20"/>
          <w:szCs w:val="20"/>
          <w:color w:val="auto"/>
        </w:rPr>
      </w:pPr>
      <w:r>
        <w:rPr>
          <w:rFonts w:ascii="Arial" w:cs="Arial" w:eastAsia="Arial" w:hAnsi="Arial"/>
          <w:sz w:val="18"/>
          <w:szCs w:val="18"/>
          <w:color w:val="auto"/>
        </w:rPr>
        <w:t>We currently focus on some of the largest markets in ophthalmology. According to the Market Scope 2019 reports, our product candidates seek to address select indications within segments of ophthalmology that, in the aggregate, account for more than $20 billion global annual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3220085</wp:posOffset>
            </wp:positionV>
            <wp:extent cx="5263515"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635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Retinal Diseases</w:t>
      </w:r>
    </w:p>
    <w:p>
      <w:pPr>
        <w:spacing w:after="0" w:line="229" w:lineRule="exact"/>
        <w:rPr>
          <w:sz w:val="20"/>
          <w:szCs w:val="20"/>
          <w:color w:val="auto"/>
        </w:rPr>
      </w:pPr>
    </w:p>
    <w:p>
      <w:pPr>
        <w:ind w:left="60" w:right="199" w:firstLine="441"/>
        <w:spacing w:after="0" w:line="255" w:lineRule="auto"/>
        <w:rPr>
          <w:sz w:val="20"/>
          <w:szCs w:val="20"/>
          <w:color w:val="auto"/>
        </w:rPr>
      </w:pPr>
      <w:r>
        <w:rPr>
          <w:rFonts w:ascii="Arial" w:cs="Arial" w:eastAsia="Arial" w:hAnsi="Arial"/>
          <w:sz w:val="18"/>
          <w:szCs w:val="18"/>
          <w:color w:val="auto"/>
        </w:rPr>
        <w:t>One of the principal retinal diseases is wet AMD, a serious disease of the central portion of the retina, known as the macula, that is responsible for detailed central vision and color perception. Wet AMD is characterized by abnormal new blood vessel formation, referred to as neovascularization, which results in blood vessel leakage and retinal distortion. If untreated, neovascularization in wet AMD patients typically results in formation of a scar under the macular region of the retina. The current standard of care for wet AMD is treatment with drugs that target VEGF, one of several proteins involved in neovascularization.</w:t>
      </w:r>
    </w:p>
    <w:p>
      <w:pPr>
        <w:spacing w:after="0" w:line="192" w:lineRule="exact"/>
        <w:rPr>
          <w:sz w:val="20"/>
          <w:szCs w:val="20"/>
          <w:color w:val="auto"/>
        </w:rPr>
      </w:pPr>
    </w:p>
    <w:p>
      <w:pPr>
        <w:ind w:left="60" w:right="99" w:firstLine="441"/>
        <w:spacing w:after="0" w:line="259" w:lineRule="auto"/>
        <w:rPr>
          <w:sz w:val="20"/>
          <w:szCs w:val="20"/>
          <w:color w:val="auto"/>
        </w:rPr>
      </w:pPr>
      <w:r>
        <w:rPr>
          <w:rFonts w:ascii="Arial" w:cs="Arial" w:eastAsia="Arial" w:hAnsi="Arial"/>
          <w:sz w:val="18"/>
          <w:szCs w:val="18"/>
          <w:color w:val="auto"/>
        </w:rPr>
        <w:t>Wet AMD is the leading cause of blindness in people over the age of 55 in the United States and the European Union. According to the 2019 Market Scope Retinal Disease Report, there are approximately 8.0 million people in the United States who suffer from vision-threatening retinal diseases. This population is expected to grow at a 2.4% compound annual growth rate through 2024.</w:t>
      </w:r>
    </w:p>
    <w:p>
      <w:pPr>
        <w:spacing w:after="0" w:line="187" w:lineRule="exact"/>
        <w:rPr>
          <w:sz w:val="20"/>
          <w:szCs w:val="20"/>
          <w:color w:val="auto"/>
        </w:rPr>
      </w:pPr>
    </w:p>
    <w:p>
      <w:pPr>
        <w:ind w:left="60" w:right="99" w:firstLine="441"/>
        <w:spacing w:after="0" w:line="272" w:lineRule="auto"/>
        <w:rPr>
          <w:sz w:val="20"/>
          <w:szCs w:val="20"/>
          <w:color w:val="auto"/>
        </w:rPr>
      </w:pPr>
      <w:r>
        <w:rPr>
          <w:rFonts w:ascii="Arial" w:cs="Arial" w:eastAsia="Arial" w:hAnsi="Arial"/>
          <w:sz w:val="17"/>
          <w:szCs w:val="17"/>
          <w:color w:val="auto"/>
        </w:rPr>
        <w:t>Because eye drops are unable to carry effective drug concentrations to the back of the eye, intravitreal injections or oral medications are used to deliver medications to this location. However, the frequency of intravitreal injection can be a significant burden on patients, caregivers and clinicians. For example, the current treatment protocol for wet AMD involves monthly or bi-monthly injections. Intravitreal injections can lead to patient discomfort, a transient increase in IOP, and ocular inflammation and infection. Although serious adverse event rates after treatment with anti-VEGF compounds are low, intravitreal injections can result in severe complications and damage to the retina and other structures of the eye, such as ocular hemorrhage and tears in the retinal pigment epithelium.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 Data</w:t>
      </w:r>
    </w:p>
    <w:p>
      <w:pPr>
        <w:spacing w:after="0" w:line="225" w:lineRule="exact"/>
        <w:rPr>
          <w:sz w:val="20"/>
          <w:szCs w:val="20"/>
          <w:color w:val="auto"/>
        </w:rPr>
      </w:pPr>
    </w:p>
    <w:p>
      <w:pPr>
        <w:ind w:left="60" w:right="79" w:firstLine="486"/>
        <w:spacing w:after="0" w:line="263" w:lineRule="auto"/>
        <w:rPr>
          <w:sz w:val="20"/>
          <w:szCs w:val="20"/>
          <w:color w:val="auto"/>
        </w:rPr>
      </w:pPr>
      <w:r>
        <w:rPr>
          <w:rFonts w:ascii="Arial" w:cs="Arial" w:eastAsia="Arial" w:hAnsi="Arial"/>
          <w:sz w:val="18"/>
          <w:szCs w:val="18"/>
          <w:color w:val="auto"/>
        </w:rPr>
        <w:t>The global market for retinal disease was approximately $13.0 billion in 2019 and was estimated to grow at approximately 11% per year through 2024 according to Market Scope. The U.S. market accounted for just over 50% of the global market or $6.8 billion in 2019.</w:t>
      </w:r>
    </w:p>
    <w:p>
      <w:pPr>
        <w:spacing w:after="0" w:line="184" w:lineRule="exact"/>
        <w:rPr>
          <w:sz w:val="20"/>
          <w:szCs w:val="20"/>
          <w:color w:val="auto"/>
        </w:rPr>
      </w:pPr>
    </w:p>
    <w:p>
      <w:pPr>
        <w:jc w:val="both"/>
        <w:ind w:left="60" w:right="299" w:firstLine="486"/>
        <w:spacing w:after="0" w:line="301" w:lineRule="auto"/>
        <w:rPr>
          <w:sz w:val="20"/>
          <w:szCs w:val="20"/>
          <w:color w:val="auto"/>
        </w:rPr>
      </w:pPr>
      <w:r>
        <w:rPr>
          <w:rFonts w:ascii="Arial" w:cs="Arial" w:eastAsia="Arial" w:hAnsi="Arial"/>
          <w:sz w:val="16"/>
          <w:szCs w:val="16"/>
          <w:color w:val="auto"/>
        </w:rPr>
        <w:t>The anti-VEGF market for the treatment of wet AMD consists predominantly of three drugs that are approved for marketing and primarily prescribed for the treatment of wet AMD: Eylea, marketed in the United States by Regeneron; Lucentis, marketed in the United States by Genentech; and Beovu, marketed in the United States by Novartis. Avastin, a cancer treatment drug, marketed by Genentech, is also used off-label for the treatment of wet AMD.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Glaucoma</w:t>
      </w:r>
    </w:p>
    <w:p>
      <w:pPr>
        <w:spacing w:after="0" w:line="225" w:lineRule="exact"/>
        <w:rPr>
          <w:sz w:val="20"/>
          <w:szCs w:val="20"/>
          <w:color w:val="auto"/>
        </w:rPr>
      </w:pPr>
    </w:p>
    <w:p>
      <w:pPr>
        <w:ind w:left="60" w:right="119" w:firstLine="441"/>
        <w:spacing w:after="0" w:line="301" w:lineRule="auto"/>
        <w:rPr>
          <w:sz w:val="20"/>
          <w:szCs w:val="20"/>
          <w:color w:val="auto"/>
        </w:rPr>
      </w:pPr>
      <w:r>
        <w:rPr>
          <w:rFonts w:ascii="Arial" w:cs="Arial" w:eastAsia="Arial" w:hAnsi="Arial"/>
          <w:sz w:val="16"/>
          <w:szCs w:val="16"/>
          <w:color w:val="auto"/>
        </w:rPr>
        <w:t>Glaucoma is a progressive and highly individualized disease in which elevated levels of IOP are associated with damage to the optic nerve, which results in irreversible vision loss. According to the World Health Organization, glaucoma is the second leading cause of blindness in the world. Ocular hypertension is characterized by elevated levels of IOP without any optic nerve damage. Patients with ocular hypertension are at high risk of developing glaucoma.</w:t>
      </w:r>
    </w:p>
    <w:p>
      <w:pPr>
        <w:spacing w:after="0" w:line="157" w:lineRule="exact"/>
        <w:rPr>
          <w:sz w:val="20"/>
          <w:szCs w:val="20"/>
          <w:color w:val="auto"/>
        </w:rPr>
      </w:pPr>
    </w:p>
    <w:p>
      <w:pPr>
        <w:ind w:left="60" w:right="139" w:firstLine="441"/>
        <w:spacing w:after="0" w:line="296" w:lineRule="auto"/>
        <w:rPr>
          <w:sz w:val="20"/>
          <w:szCs w:val="20"/>
          <w:color w:val="auto"/>
        </w:rPr>
      </w:pPr>
      <w:r>
        <w:rPr>
          <w:rFonts w:ascii="Arial" w:cs="Arial" w:eastAsia="Arial" w:hAnsi="Arial"/>
          <w:sz w:val="16"/>
          <w:szCs w:val="16"/>
          <w:color w:val="auto"/>
        </w:rPr>
        <w:t>Glaucoma impacts more than 2.7 million people age 40 or older in the United States. The primary goal of glaucoma treatment is to slow the progression of this chronic disease by reducing IOP, and many medications can accomplish this. Importantly, however, adherence to current topical glaucoma therapies is known to be particularly poor with reported rates of non-adherence from 30% to 80%. These low compliance rates may be associated with disease progression and loss of vision and may be part of the reason that glaucoma is a leading cause of blindness in people over 60 years of age.</w:t>
      </w:r>
    </w:p>
    <w:p>
      <w:pPr>
        <w:spacing w:after="0" w:line="134" w:lineRule="exact"/>
        <w:rPr>
          <w:sz w:val="20"/>
          <w:szCs w:val="20"/>
          <w:color w:val="auto"/>
        </w:rPr>
      </w:pPr>
    </w:p>
    <w:p>
      <w:pPr>
        <w:ind w:left="60" w:right="59" w:firstLine="441"/>
        <w:spacing w:after="0" w:line="257" w:lineRule="auto"/>
        <w:rPr>
          <w:sz w:val="20"/>
          <w:szCs w:val="20"/>
          <w:color w:val="auto"/>
        </w:rPr>
      </w:pPr>
      <w:r>
        <w:rPr>
          <w:rFonts w:ascii="Arial" w:cs="Arial" w:eastAsia="Arial" w:hAnsi="Arial"/>
          <w:sz w:val="18"/>
          <w:szCs w:val="18"/>
          <w:color w:val="auto"/>
        </w:rPr>
        <w:t>In a healthy eye, fluid is continuously produced and drained to maintain pressure equilibrium and provide nutrients to the ocular tissue. Excess fluid production or insufficient drainage of fluid in the front of the eye or a combination of these problems causes increased IOP. The increased IOP associated with uncontrolled glaucoma results in degeneration of the optic nerve in the back of the eye and loss of peripheral vision. Once glaucoma develops, it is a chronic condition that requires life-long treatment.</w:t>
      </w:r>
    </w:p>
    <w:p>
      <w:pPr>
        <w:spacing w:after="0" w:line="188" w:lineRule="exact"/>
        <w:rPr>
          <w:sz w:val="20"/>
          <w:szCs w:val="20"/>
          <w:color w:val="auto"/>
        </w:rPr>
      </w:pPr>
    </w:p>
    <w:p>
      <w:pPr>
        <w:ind w:left="60" w:right="199" w:firstLine="441"/>
        <w:spacing w:after="0" w:line="257" w:lineRule="auto"/>
        <w:rPr>
          <w:sz w:val="20"/>
          <w:szCs w:val="20"/>
          <w:color w:val="auto"/>
        </w:rPr>
      </w:pPr>
      <w:r>
        <w:rPr>
          <w:rFonts w:ascii="Arial" w:cs="Arial" w:eastAsia="Arial" w:hAnsi="Arial"/>
          <w:sz w:val="18"/>
          <w:szCs w:val="18"/>
          <w:color w:val="auto"/>
        </w:rPr>
        <w:t>Prostaglandins are the most commonly used class of medications to treat patients with glaucoma and are administered via daily eye drops as the current standard of care. The ability of patients to use and place daily eye drops is challenging. The products that we are developing are designed to address the issue of compliance by delivering a prostaglandin analog, or PGA, formulated with our programmed release hydrogel to lower IOP for several months with a single insert.</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Market Data</w:t>
      </w:r>
    </w:p>
    <w:p>
      <w:pPr>
        <w:spacing w:after="0" w:line="225" w:lineRule="exact"/>
        <w:rPr>
          <w:sz w:val="20"/>
          <w:szCs w:val="20"/>
          <w:color w:val="auto"/>
        </w:rPr>
      </w:pPr>
    </w:p>
    <w:p>
      <w:pPr>
        <w:ind w:left="60" w:right="739" w:firstLine="405"/>
        <w:spacing w:after="0" w:line="277" w:lineRule="auto"/>
        <w:rPr>
          <w:sz w:val="20"/>
          <w:szCs w:val="20"/>
          <w:color w:val="auto"/>
        </w:rPr>
      </w:pPr>
      <w:r>
        <w:rPr>
          <w:rFonts w:ascii="Arial" w:cs="Arial" w:eastAsia="Arial" w:hAnsi="Arial"/>
          <w:sz w:val="18"/>
          <w:szCs w:val="18"/>
          <w:color w:val="auto"/>
        </w:rPr>
        <w:t>The global market for glaucoma was estimated by Market Scope at $4.8 billion in 2019 with the U.S. market representing $1.9 billion.</w:t>
      </w:r>
    </w:p>
    <w:p>
      <w:pPr>
        <w:spacing w:after="0" w:line="170" w:lineRule="exact"/>
        <w:rPr>
          <w:sz w:val="20"/>
          <w:szCs w:val="20"/>
          <w:color w:val="auto"/>
        </w:rPr>
      </w:pPr>
    </w:p>
    <w:p>
      <w:pPr>
        <w:ind w:left="60" w:right="239" w:firstLine="405"/>
        <w:spacing w:after="0" w:line="301" w:lineRule="auto"/>
        <w:rPr>
          <w:sz w:val="20"/>
          <w:szCs w:val="20"/>
          <w:color w:val="auto"/>
        </w:rPr>
      </w:pPr>
      <w:r>
        <w:rPr>
          <w:rFonts w:ascii="Arial" w:cs="Arial" w:eastAsia="Arial" w:hAnsi="Arial"/>
          <w:sz w:val="16"/>
          <w:szCs w:val="16"/>
          <w:color w:val="auto"/>
        </w:rPr>
        <w:t>The market for drugs administered by eye drops for the treatment of glaucoma consists of both branded and generic products. Branded products have maintained premium pricing and significant market share. These products include Travatan Z (travoprost) marketed by Alcon and Lumigan (bimatoprost) marketed by Allergan. The relevant patents covering travoprost expired in December 2014. Commonly used generic drugs include latanoprost and timolol.</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Ocular Surface Diseases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Dry Eye Disease</w:t>
      </w:r>
    </w:p>
    <w:p>
      <w:pPr>
        <w:spacing w:after="0" w:line="225" w:lineRule="exact"/>
        <w:rPr>
          <w:sz w:val="20"/>
          <w:szCs w:val="20"/>
          <w:color w:val="auto"/>
        </w:rPr>
      </w:pPr>
    </w:p>
    <w:p>
      <w:pPr>
        <w:ind w:left="60" w:right="139" w:firstLine="441"/>
        <w:spacing w:after="0" w:line="291" w:lineRule="auto"/>
        <w:rPr>
          <w:sz w:val="20"/>
          <w:szCs w:val="20"/>
          <w:color w:val="auto"/>
        </w:rPr>
      </w:pPr>
      <w:r>
        <w:rPr>
          <w:rFonts w:ascii="Arial" w:cs="Arial" w:eastAsia="Arial" w:hAnsi="Arial"/>
          <w:sz w:val="16"/>
          <w:szCs w:val="16"/>
          <w:color w:val="auto"/>
        </w:rPr>
        <w:t>Dry eye disease is a chronic, multifactorial disease affecting the tears and ocular surface that can result in dryness, inflammation, irritation, pain, tear film instability, visual disturbance and ocular surface damage. Dry eye disease can have a significant impact on quality of life and can potentially cause long-term damage to the ocular surface. Due to the impact of dry eye disease on tear film dynamics, the condition can affect performance of common vision-related activities such as reading, using a computer and driving, and can lead to complications associated with visual impairment. In addition, the vast majority of dry eye patients experience acute episodic exacerbations of their symptoms, which are commonly referred to as flares, at various times throughout the year. These flares can be triggered by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6" w:lineRule="auto"/>
        <w:rPr>
          <w:sz w:val="20"/>
          <w:szCs w:val="20"/>
          <w:color w:val="auto"/>
        </w:rPr>
      </w:pPr>
      <w:r>
        <w:rPr>
          <w:rFonts w:ascii="Arial" w:cs="Arial" w:eastAsia="Arial" w:hAnsi="Arial"/>
          <w:sz w:val="17"/>
          <w:szCs w:val="17"/>
          <w:color w:val="auto"/>
        </w:rPr>
        <w:t>numerous factors, including exposure to allergens, pollution, wind and low humidity, intense visual concentration such as watching television and working at a computer, hormonal changes, contact lens wear, smoking and sleep deprivation, which cause ocular surface inflammation and impact tear production and/or tear film stability.</w:t>
      </w:r>
    </w:p>
    <w:p>
      <w:pPr>
        <w:spacing w:after="0" w:line="165" w:lineRule="exact"/>
        <w:rPr>
          <w:sz w:val="20"/>
          <w:szCs w:val="20"/>
          <w:color w:val="auto"/>
        </w:rPr>
      </w:pPr>
    </w:p>
    <w:p>
      <w:pPr>
        <w:ind w:left="60" w:right="239" w:firstLine="441"/>
        <w:spacing w:after="0" w:line="257" w:lineRule="auto"/>
        <w:rPr>
          <w:sz w:val="20"/>
          <w:szCs w:val="20"/>
          <w:color w:val="auto"/>
        </w:rPr>
      </w:pPr>
      <w:r>
        <w:rPr>
          <w:rFonts w:ascii="Arial" w:cs="Arial" w:eastAsia="Arial" w:hAnsi="Arial"/>
          <w:sz w:val="18"/>
          <w:szCs w:val="18"/>
          <w:color w:val="auto"/>
        </w:rPr>
        <w:t>There are approximately 17.2 million patients diagnosed with dry eye disease in the United States, according to the Market Scope 2019 Dry Eye Products Market Report. Approximately 8.6 million of those patients are diagnosed with moderate to severe dry eye while the remaining 8.6 million patients are diagnosed with episodic dry eye disease. The prevalence of dry eye disease increases with age, and we expect that the number of dry eye disease cases will increase as the U.S. population continues to age.</w:t>
      </w:r>
    </w:p>
    <w:p>
      <w:pPr>
        <w:spacing w:after="0" w:line="188" w:lineRule="exact"/>
        <w:rPr>
          <w:sz w:val="20"/>
          <w:szCs w:val="20"/>
          <w:color w:val="auto"/>
        </w:rPr>
      </w:pPr>
    </w:p>
    <w:p>
      <w:pPr>
        <w:ind w:left="60" w:right="159" w:firstLine="441"/>
        <w:spacing w:after="0" w:line="271" w:lineRule="auto"/>
        <w:rPr>
          <w:sz w:val="20"/>
          <w:szCs w:val="20"/>
          <w:color w:val="auto"/>
        </w:rPr>
      </w:pPr>
      <w:r>
        <w:rPr>
          <w:rFonts w:ascii="Arial" w:cs="Arial" w:eastAsia="Arial" w:hAnsi="Arial"/>
          <w:sz w:val="17"/>
          <w:szCs w:val="17"/>
          <w:color w:val="auto"/>
        </w:rPr>
        <w:t>The current standard of care for moderate to severe dry eye disease is the use of artificial tears and topical anti- inflammatory and immune modulating drugs administered by prescription eye drops. The anti-inflammatory and immune modulating prescription drug market consists of Restasis®, for increasing tear production, marketed by Allergan; Cequa™ for increasing tear production, marketed by Sun Ophthalmics in the United States; lifitegrast, for the treatment of the signs and symptoms of dry eye disease, marketed by Novartis under the brand name Xiidra®; and off-label use of corticosteroids. As each of Restasis and Xiidra have a relatively long onset of action, they are not generally used for the short-term treatment of episodic dry eye flares. In addition, patients have reported significant issues with stinging and burning when using several of the current treatments.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Market Data</w:t>
      </w:r>
    </w:p>
    <w:p>
      <w:pPr>
        <w:spacing w:after="0" w:line="225" w:lineRule="exact"/>
        <w:rPr>
          <w:sz w:val="20"/>
          <w:szCs w:val="20"/>
          <w:color w:val="auto"/>
        </w:rPr>
      </w:pPr>
    </w:p>
    <w:p>
      <w:pPr>
        <w:ind w:left="60" w:right="139" w:firstLine="486"/>
        <w:spacing w:after="0" w:line="257" w:lineRule="auto"/>
        <w:rPr>
          <w:sz w:val="20"/>
          <w:szCs w:val="20"/>
          <w:color w:val="auto"/>
        </w:rPr>
      </w:pPr>
      <w:r>
        <w:rPr>
          <w:rFonts w:ascii="Arial" w:cs="Arial" w:eastAsia="Arial" w:hAnsi="Arial"/>
          <w:sz w:val="18"/>
          <w:szCs w:val="18"/>
          <w:color w:val="auto"/>
        </w:rPr>
        <w:t>The global market for dry ocular surface disease, which we refer to as dry eye disease, was estimated by Market Scope at $5.1 billion in 2019 with the U.S. market representing $2.1 billion, composed of approximately $1.5 billion in prescriptions and $0.6 billion in over-the-counter medications. Within the prescription category, Restasis recorded sales in 2019 of approximately $1.2 billion in the United States while Xiidra recorded estimated sales of $0.3 billion in the United States.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Allergic Conjunctivitis</w:t>
      </w:r>
    </w:p>
    <w:p>
      <w:pPr>
        <w:spacing w:after="0" w:line="225"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color w:val="auto"/>
        </w:rPr>
        <w:t xml:space="preserve">Allergic conjunctivitis, another ocular surface disease, is an inflammatory disease of the conjunctiva resulting primarily from a reaction to allergy- causing substances such as pollen or pet dander. The primary sign of this inflammation is redness and the primary symptom is acute itching. Allergic conjunctivitis ranges in clinical severity from relatively mild, common forms to more severe forms that can cause impaired vision. According to a study on the management of seasonal allergic conjunctivitis published in 2012 in the peer-reviewed journal </w:t>
      </w:r>
      <w:r>
        <w:rPr>
          <w:rFonts w:ascii="Arial" w:cs="Arial" w:eastAsia="Arial" w:hAnsi="Arial"/>
          <w:sz w:val="17"/>
          <w:szCs w:val="17"/>
          <w:i w:val="1"/>
          <w:iCs w:val="1"/>
          <w:color w:val="auto"/>
        </w:rPr>
        <w:t>Acta Ophthalmologica</w:t>
      </w:r>
      <w:r>
        <w:rPr>
          <w:rFonts w:ascii="Arial" w:cs="Arial" w:eastAsia="Arial" w:hAnsi="Arial"/>
          <w:sz w:val="17"/>
          <w:szCs w:val="17"/>
          <w:color w:val="auto"/>
        </w:rPr>
        <w:t>, allergic conjunctivitis affects 15% to 40% of the U.S. population. The first line of defense against allergic conjunctivitis is avoidance of the allergen. If this is not successful, physicians typically prescribe a combination of a topical mast cell stabilizer and anti-histamine. These treatments act to reduce the signs and symptoms of the early phase allergic reaction. For the subset of patients with chronic or more severe forms of allergic conjunctivitis, anti-histamines and mast cell stabilizers are often not sufficient to treat their signs and symptoms. These refractory patients are frequently treated with topical corticosteroids administered by prescription eye drops.</w:t>
      </w:r>
    </w:p>
    <w:p>
      <w:pPr>
        <w:spacing w:after="0" w:line="182" w:lineRule="exact"/>
        <w:rPr>
          <w:sz w:val="20"/>
          <w:szCs w:val="20"/>
          <w:color w:val="auto"/>
        </w:rPr>
      </w:pPr>
    </w:p>
    <w:p>
      <w:pPr>
        <w:ind w:left="60" w:right="159" w:firstLine="441"/>
        <w:spacing w:after="0" w:line="308" w:lineRule="auto"/>
        <w:rPr>
          <w:sz w:val="20"/>
          <w:szCs w:val="20"/>
          <w:color w:val="auto"/>
        </w:rPr>
      </w:pPr>
      <w:r>
        <w:rPr>
          <w:rFonts w:ascii="Arial" w:cs="Arial" w:eastAsia="Arial" w:hAnsi="Arial"/>
          <w:sz w:val="17"/>
          <w:szCs w:val="17"/>
          <w:color w:val="auto"/>
        </w:rPr>
        <w:t>It is estimated that up to 10 million people in the United States seek medical attention annually for the inflammatory response associated with allergic conjunctivitis caused by both seasonal and perennial allergens.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Market Data</w:t>
      </w:r>
    </w:p>
    <w:p>
      <w:pPr>
        <w:spacing w:after="0" w:line="225" w:lineRule="exact"/>
        <w:rPr>
          <w:sz w:val="20"/>
          <w:szCs w:val="20"/>
          <w:color w:val="auto"/>
        </w:rPr>
      </w:pPr>
    </w:p>
    <w:p>
      <w:pPr>
        <w:ind w:left="60" w:right="59" w:firstLine="441"/>
        <w:spacing w:after="0" w:line="254" w:lineRule="auto"/>
        <w:rPr>
          <w:sz w:val="20"/>
          <w:szCs w:val="20"/>
          <w:color w:val="auto"/>
        </w:rPr>
      </w:pPr>
      <w:r>
        <w:rPr>
          <w:rFonts w:ascii="Arial" w:cs="Arial" w:eastAsia="Arial" w:hAnsi="Arial"/>
          <w:sz w:val="18"/>
          <w:szCs w:val="18"/>
          <w:color w:val="auto"/>
        </w:rPr>
        <w:t>According to IMS Health data, approximately 6.1 million anti-allergy eye drop prescriptions were filled in the United States in 2020, resulting in sales of approximately $401.2 million. The market to treat allergic conjunctivitis consists of antihistamines, mast-cell stabilizers and steroid eye drops and consists of both branded and generic products. Branded steroids include Lotemax and Alrex (loteprednol etabonate) marketed by Bausch &amp; Lomb, and Durezol (difluprednate) marketed by Alcon. Commonly used generic steroids include prednisolone, dexamethasone and fluorometholone. Pataday and Patanol formerly led the prescription market in this category but have recently been made available as over-the-counter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Post-Surgical Ocular Inflammation and Pain</w:t>
      </w:r>
    </w:p>
    <w:p>
      <w:pPr>
        <w:spacing w:after="0" w:line="225" w:lineRule="exact"/>
        <w:rPr>
          <w:sz w:val="20"/>
          <w:szCs w:val="20"/>
          <w:color w:val="auto"/>
        </w:rPr>
      </w:pPr>
    </w:p>
    <w:p>
      <w:pPr>
        <w:ind w:left="60" w:right="99" w:firstLine="441"/>
        <w:spacing w:after="0" w:line="271" w:lineRule="auto"/>
        <w:rPr>
          <w:sz w:val="20"/>
          <w:szCs w:val="20"/>
          <w:color w:val="auto"/>
        </w:rPr>
      </w:pPr>
      <w:r>
        <w:rPr>
          <w:rFonts w:ascii="Arial" w:cs="Arial" w:eastAsia="Arial" w:hAnsi="Arial"/>
          <w:sz w:val="17"/>
          <w:szCs w:val="17"/>
          <w:color w:val="auto"/>
        </w:rPr>
        <w:t>Ocular inflammation and pain are common side effects following ophthalmic surgery. Frequently performed ophthalmic surgeries include cataract, refractive, vitreoretinal, cornea, and glaucoma procedures. Physicians prescribe anti-inflammatory drugs, such as corticosteroids, which are typically administered through eye drops multiple times per day, following ocular surgery as the standard of care. These drugs improve patient comfort and also accelerate recovery through disruption of the inflammatory cascade resulting in decreased inflammation and reduced activity of the immune system. Physicians also frequently prescribe non-steroidal anti-inflammatory drugs, or NSAIDs, as adjunctive or combination therapy to supplement the use of corticosteroids. If left untreated, inflammation of the eye may result in further ocular complications, including pain, scarring and vision loss.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Market Data</w:t>
      </w:r>
    </w:p>
    <w:p>
      <w:pPr>
        <w:spacing w:after="0" w:line="225" w:lineRule="exact"/>
        <w:rPr>
          <w:sz w:val="20"/>
          <w:szCs w:val="20"/>
          <w:color w:val="auto"/>
        </w:rPr>
      </w:pPr>
    </w:p>
    <w:p>
      <w:pPr>
        <w:ind w:left="60" w:right="59" w:firstLine="441"/>
        <w:spacing w:after="0" w:line="255" w:lineRule="auto"/>
        <w:rPr>
          <w:sz w:val="20"/>
          <w:szCs w:val="20"/>
          <w:color w:val="auto"/>
        </w:rPr>
      </w:pPr>
      <w:r>
        <w:rPr>
          <w:rFonts w:ascii="Arial" w:cs="Arial" w:eastAsia="Arial" w:hAnsi="Arial"/>
          <w:sz w:val="18"/>
          <w:szCs w:val="18"/>
          <w:color w:val="auto"/>
        </w:rPr>
        <w:t>Market Scope has estimated that approximately 4.7 million ocular surgeries were to be performed in the United States in 2020, of which approximately 3.2 million are estimated to be cataract surgeries. In 2021, Market Scope estimates 5.1 million cataract surgeries are to be performed. We focus our sales efforts on patients covered by Medicare Part B which accounts for roughly 50% of all cataract surgeries or approximately 2 million surgeries annually. At the current wholesale acquisition price of $538.83 per insert, we estimate that there is a near-term addressable market of approximately $1 billion per year in the surgical space.</w:t>
      </w:r>
    </w:p>
    <w:p>
      <w:pPr>
        <w:spacing w:after="0" w:line="192" w:lineRule="exact"/>
        <w:rPr>
          <w:sz w:val="20"/>
          <w:szCs w:val="20"/>
          <w:color w:val="auto"/>
        </w:rPr>
      </w:pPr>
    </w:p>
    <w:p>
      <w:pPr>
        <w:ind w:left="60" w:right="159" w:firstLine="441"/>
        <w:spacing w:after="0" w:line="273" w:lineRule="auto"/>
        <w:rPr>
          <w:sz w:val="20"/>
          <w:szCs w:val="20"/>
          <w:color w:val="auto"/>
        </w:rPr>
      </w:pPr>
      <w:r>
        <w:rPr>
          <w:rFonts w:ascii="Arial" w:cs="Arial" w:eastAsia="Arial" w:hAnsi="Arial"/>
          <w:sz w:val="17"/>
          <w:szCs w:val="17"/>
          <w:color w:val="auto"/>
        </w:rPr>
        <w:t>According to IMS Health data, approximately 17.7 million prescriptions were filled in the United States in 2020 for anti-inflammatory drugs administered by prescription eye drops for ocular diseases and conditions, resulting in sales of approximately $4.3 billion. These prescriptions consisted of approximately 7.4 million prescriptions and $580.0 million in sales for single-agent corticosteroids, 2.8 million prescriptions and $293.4 million in sales for NSAIDs, 3.7 million prescriptions and $262.7 million in sales for corticosteroid and antibiotic combination products and approximately 3.6 million prescriptions and $2.9 billion in sales of Restasis and Xiidra for dry eye disease.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Use of Eye Drops and its Limitations</w:t>
      </w:r>
    </w:p>
    <w:p>
      <w:pPr>
        <w:spacing w:after="0" w:line="229" w:lineRule="exact"/>
        <w:rPr>
          <w:sz w:val="20"/>
          <w:szCs w:val="20"/>
          <w:color w:val="auto"/>
        </w:rPr>
      </w:pPr>
    </w:p>
    <w:p>
      <w:pPr>
        <w:ind w:left="60" w:right="79" w:firstLine="441"/>
        <w:spacing w:after="0" w:line="259" w:lineRule="auto"/>
        <w:rPr>
          <w:sz w:val="20"/>
          <w:szCs w:val="20"/>
          <w:color w:val="auto"/>
        </w:rPr>
      </w:pPr>
      <w:r>
        <w:rPr>
          <w:rFonts w:ascii="Arial" w:cs="Arial" w:eastAsia="Arial" w:hAnsi="Arial"/>
          <w:sz w:val="18"/>
          <w:szCs w:val="18"/>
          <w:color w:val="auto"/>
        </w:rPr>
        <w:t>Eye drops are widely used to deliver medications directly to the ocular surface and to intraocular tissue in the front of the eye. Eye drops are administrable by the patient or care provider, inexpensive to produce and treat the local tissue. However, eye drops have significant limitations, especially when used for chronic diseases or when requiring frequent administration, including:</w:t>
      </w:r>
    </w:p>
    <w:p>
      <w:pPr>
        <w:spacing w:after="0" w:line="187" w:lineRule="exact"/>
        <w:rPr>
          <w:sz w:val="20"/>
          <w:szCs w:val="20"/>
          <w:color w:val="auto"/>
        </w:rPr>
      </w:pPr>
    </w:p>
    <w:p>
      <w:pPr>
        <w:ind w:left="820" w:right="119" w:hanging="329"/>
        <w:spacing w:after="0" w:line="293"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Lack of patient compliance</w:t>
      </w:r>
      <w:r>
        <w:rPr>
          <w:rFonts w:ascii="Arial" w:cs="Arial" w:eastAsia="Arial" w:hAnsi="Arial"/>
          <w:sz w:val="16"/>
          <w:szCs w:val="16"/>
          <w:color w:val="auto"/>
        </w:rPr>
        <w:t>. Eye drops require frequent administration. For example, steroids for ophthalmic use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administration as frequently as four to six times daily and require tapered dosing over the course of the therapy. As a result, patient compliance with required dosing regimens frequently suffers. According to a published third-party study, more than 50% of glaucoma patients are not compliant with their prostaglandin therapy and do not refill prescriptions as required or do not follow the prescribed regimen within six months of initiating therapy. Poor patient compliance can lead to diminished efficacy and disease progression.</w:t>
      </w:r>
    </w:p>
    <w:p>
      <w:pPr>
        <w:spacing w:after="0" w:line="164" w:lineRule="exact"/>
        <w:rPr>
          <w:rFonts w:ascii="Arial" w:cs="Arial" w:eastAsia="Arial" w:hAnsi="Arial"/>
          <w:sz w:val="16"/>
          <w:szCs w:val="16"/>
          <w:color w:val="auto"/>
        </w:rPr>
      </w:pPr>
    </w:p>
    <w:p>
      <w:pPr>
        <w:ind w:left="820" w:right="79" w:hanging="329"/>
        <w:spacing w:after="0" w:line="296"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Difficulty in administration</w:t>
      </w:r>
      <w:r>
        <w:rPr>
          <w:rFonts w:ascii="Arial" w:cs="Arial" w:eastAsia="Arial" w:hAnsi="Arial"/>
          <w:sz w:val="16"/>
          <w:szCs w:val="16"/>
          <w:color w:val="auto"/>
        </w:rPr>
        <w:t>. Eye drops are difficult to administer for many patients, in particularly the elderly,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physical or mental conditions such as arthritis or dementia. Difficulty in self-administering eye drops may lead to bacterial contamination in the bottle resulting from incorrect usage, limited accuracy administering the drops directly into the eye and the potential washout of drops from the eye. We believe that this also may play a large role in lack of patient compliance and resulting diminished efficacy of treatment.</w:t>
      </w:r>
    </w:p>
    <w:p>
      <w:pPr>
        <w:spacing w:after="0" w:line="161" w:lineRule="exact"/>
        <w:rPr>
          <w:rFonts w:ascii="Arial" w:cs="Arial" w:eastAsia="Arial" w:hAnsi="Arial"/>
          <w:sz w:val="16"/>
          <w:szCs w:val="16"/>
          <w:color w:val="auto"/>
        </w:rPr>
      </w:pPr>
    </w:p>
    <w:p>
      <w:pPr>
        <w:ind w:left="820" w:right="59" w:hanging="329"/>
        <w:spacing w:after="0" w:line="289"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Need for high concentrations</w:t>
      </w:r>
      <w:r>
        <w:rPr>
          <w:rFonts w:ascii="Arial" w:cs="Arial" w:eastAsia="Arial" w:hAnsi="Arial"/>
          <w:sz w:val="16"/>
          <w:szCs w:val="16"/>
          <w:color w:val="auto"/>
        </w:rPr>
        <w:t>. After eye drops are administered to the ocular surface, the tear film rapidly</w:t>
      </w:r>
      <w:r>
        <w:rPr>
          <w:rFonts w:ascii="Arial" w:cs="Arial" w:eastAsia="Arial" w:hAnsi="Arial"/>
          <w:sz w:val="16"/>
          <w:szCs w:val="16"/>
          <w:i w:val="1"/>
          <w:iCs w:val="1"/>
          <w:color w:val="auto"/>
        </w:rPr>
        <w:t xml:space="preserve"> </w:t>
      </w:r>
      <w:r>
        <w:rPr>
          <w:rFonts w:ascii="Arial" w:cs="Arial" w:eastAsia="Arial" w:hAnsi="Arial"/>
          <w:sz w:val="16"/>
          <w:szCs w:val="16"/>
          <w:color w:val="auto"/>
        </w:rPr>
        <w:t>renews. Most topically applied solutions are washed away by new tear fluid within 15 to 30 seconds. Because contact time with the ocular surface is short, less than 5% of the applied dose actually penetrates to reach intraocular tissues. As a result, eye drops generally require frequent administration at high drug concentrations to deliver a meaningful amount of drug to the eye. This pulsed therapy results in significant variations in drug concentrations over a treatment period, which we refer to as peak and valley dosing. At peak levels, the high concentrations can result in side effects, such as burning, stinging, redness of the clear membrane covering the white part of the eye, referred to as hyperemia, and spikes in IOP, which may lead to drug induced glaucoma. At low concentration levels, the drug may not be effective, thus allowing the disease to progress.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right="139" w:hanging="329"/>
        <w:spacing w:after="0" w:line="301"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Side effects of preservatives</w:t>
      </w:r>
      <w:r>
        <w:rPr>
          <w:rFonts w:ascii="Arial" w:cs="Arial" w:eastAsia="Arial" w:hAnsi="Arial"/>
          <w:sz w:val="16"/>
          <w:szCs w:val="16"/>
          <w:color w:val="auto"/>
        </w:rPr>
        <w:t>. To guard against contamination, many eye drops are formulated with antimicrobial</w:t>
      </w:r>
      <w:r>
        <w:rPr>
          <w:rFonts w:ascii="Arial" w:cs="Arial" w:eastAsia="Arial" w:hAnsi="Arial"/>
          <w:sz w:val="16"/>
          <w:szCs w:val="16"/>
          <w:i w:val="1"/>
          <w:iCs w:val="1"/>
          <w:color w:val="auto"/>
        </w:rPr>
        <w:t xml:space="preserve"> </w:t>
      </w:r>
      <w:r>
        <w:rPr>
          <w:rFonts w:ascii="Arial" w:cs="Arial" w:eastAsia="Arial" w:hAnsi="Arial"/>
          <w:sz w:val="16"/>
          <w:szCs w:val="16"/>
          <w:color w:val="auto"/>
        </w:rPr>
        <w:t>preservatives, most commonly benzalkonium chloride, or BAK. Patients on long term or chronic therapy, such as glaucoma patients, often suffer reactions, which have been linked to BAK, including burning, stinging, hyperemia, irritation and eye dryness. Less frequently, conjunctivitis or corneal damage may result.</w:t>
      </w:r>
    </w:p>
    <w:p>
      <w:pPr>
        <w:spacing w:after="0" w:line="157" w:lineRule="exact"/>
        <w:rPr>
          <w:sz w:val="20"/>
          <w:szCs w:val="20"/>
          <w:color w:val="auto"/>
        </w:rPr>
      </w:pPr>
    </w:p>
    <w:p>
      <w:pPr>
        <w:ind w:left="60" w:right="479" w:firstLine="441"/>
        <w:spacing w:after="0" w:line="277" w:lineRule="auto"/>
        <w:rPr>
          <w:sz w:val="20"/>
          <w:szCs w:val="20"/>
          <w:color w:val="auto"/>
        </w:rPr>
      </w:pPr>
      <w:r>
        <w:rPr>
          <w:rFonts w:ascii="Arial" w:cs="Arial" w:eastAsia="Arial" w:hAnsi="Arial"/>
          <w:sz w:val="18"/>
          <w:szCs w:val="18"/>
          <w:color w:val="auto"/>
        </w:rPr>
        <w:t>As a result of these limitations, eye drops are often suboptimal as a therapeutic option for the treatment of many diseases and conditions of the front of the eye</w:t>
      </w:r>
      <w:r>
        <w:rPr>
          <w:rFonts w:ascii="Arial" w:cs="Arial" w:eastAsia="Arial" w:hAnsi="Arial"/>
          <w:sz w:val="18"/>
          <w:szCs w:val="18"/>
          <w:b w:val="1"/>
          <w:bCs w:val="1"/>
          <w:color w:val="auto"/>
        </w:rPr>
        <w: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Challenges of Back-of-the-Eye Injections</w:t>
      </w:r>
    </w:p>
    <w:p>
      <w:pPr>
        <w:spacing w:after="0" w:line="229" w:lineRule="exact"/>
        <w:rPr>
          <w:sz w:val="20"/>
          <w:szCs w:val="20"/>
          <w:color w:val="auto"/>
        </w:rPr>
      </w:pPr>
    </w:p>
    <w:p>
      <w:pPr>
        <w:ind w:left="60" w:right="79" w:firstLine="486"/>
        <w:spacing w:after="0" w:line="296" w:lineRule="auto"/>
        <w:rPr>
          <w:sz w:val="20"/>
          <w:szCs w:val="20"/>
          <w:color w:val="auto"/>
        </w:rPr>
      </w:pPr>
      <w:r>
        <w:rPr>
          <w:rFonts w:ascii="Arial" w:cs="Arial" w:eastAsia="Arial" w:hAnsi="Arial"/>
          <w:sz w:val="16"/>
          <w:szCs w:val="16"/>
          <w:color w:val="auto"/>
        </w:rPr>
        <w:t>An intravitreal injection is a procedure to place a medication directly into the space in the back of the eye called the vitreous cavity, which is filled with a jelly-like fluid called the vitreous humor gel. The procedure is usually performed by a trained retina specialist in the office setting. Intravitreal injections are used to administer medications to treat a variety of chronic conditions; wet AMD, DME and RVO are among the most common conditions treated with intravitreal anti-VEGF drugs. Anti-VEGF drugs and steroids help to reduce fluid leakage associated with these disorders.</w:t>
      </w:r>
    </w:p>
    <w:p>
      <w:pPr>
        <w:spacing w:after="0" w:line="161" w:lineRule="exact"/>
        <w:rPr>
          <w:sz w:val="20"/>
          <w:szCs w:val="20"/>
          <w:color w:val="auto"/>
        </w:rPr>
      </w:pPr>
    </w:p>
    <w:p>
      <w:pPr>
        <w:ind w:left="60" w:right="59" w:firstLine="486"/>
        <w:spacing w:after="0" w:line="291" w:lineRule="auto"/>
        <w:rPr>
          <w:sz w:val="20"/>
          <w:szCs w:val="20"/>
          <w:color w:val="auto"/>
        </w:rPr>
      </w:pPr>
      <w:r>
        <w:rPr>
          <w:rFonts w:ascii="Arial" w:cs="Arial" w:eastAsia="Arial" w:hAnsi="Arial"/>
          <w:sz w:val="16"/>
          <w:szCs w:val="16"/>
          <w:color w:val="auto"/>
        </w:rPr>
        <w:t>While anti-VEGF treatment regimens can be very effective therapies, there are a number of significant drawbacks, driven primarily by the frequency of injections that typically range from every six to eight weeks. The actual injection at the time of administration is uncomfortable for patients and can be a deterrent in terms of compliance. Then there is the burden to both patients and their caregivers of regular office visits. These patients may not be mobile enough to travel to the office on their own and therefore require not only the assistance of a caregiver but also transportation to and from the office. And finally, while intravitreal injections are typically safe, there is the potential risk of endophthalmitis (infection in the eye), inflammation, bleeding into the vitreous gel and retinal detachment that comes with injections.</w:t>
      </w:r>
    </w:p>
    <w:p>
      <w:pPr>
        <w:spacing w:after="0" w:line="166" w:lineRule="exact"/>
        <w:rPr>
          <w:sz w:val="20"/>
          <w:szCs w:val="20"/>
          <w:color w:val="auto"/>
        </w:rPr>
      </w:pPr>
    </w:p>
    <w:p>
      <w:pPr>
        <w:ind w:left="60" w:right="679" w:firstLine="486"/>
        <w:spacing w:after="0" w:line="277" w:lineRule="auto"/>
        <w:rPr>
          <w:sz w:val="20"/>
          <w:szCs w:val="20"/>
          <w:color w:val="auto"/>
        </w:rPr>
      </w:pPr>
      <w:r>
        <w:rPr>
          <w:rFonts w:ascii="Arial" w:cs="Arial" w:eastAsia="Arial" w:hAnsi="Arial"/>
          <w:sz w:val="18"/>
          <w:szCs w:val="18"/>
          <w:color w:val="auto"/>
        </w:rPr>
        <w:t>As a result of these limitations, there is a significant unmet need for technologies that will allow for a longer duration of effect and an overall reduced number of injections.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Ocular Wound Closure</w:t>
      </w:r>
    </w:p>
    <w:p>
      <w:pPr>
        <w:spacing w:after="0" w:line="229" w:lineRule="exact"/>
        <w:rPr>
          <w:sz w:val="20"/>
          <w:szCs w:val="20"/>
          <w:color w:val="auto"/>
        </w:rPr>
      </w:pPr>
    </w:p>
    <w:p>
      <w:pPr>
        <w:ind w:left="60" w:right="119" w:firstLine="441"/>
        <w:spacing w:after="0" w:line="257" w:lineRule="auto"/>
        <w:rPr>
          <w:sz w:val="20"/>
          <w:szCs w:val="20"/>
          <w:color w:val="auto"/>
        </w:rPr>
      </w:pPr>
      <w:r>
        <w:rPr>
          <w:rFonts w:ascii="Arial" w:cs="Arial" w:eastAsia="Arial" w:hAnsi="Arial"/>
          <w:sz w:val="18"/>
          <w:szCs w:val="18"/>
          <w:color w:val="auto"/>
        </w:rPr>
        <w:t>According to the World Health Organization, cataracts are the leading cause of visual impairment eventually progressing to blindness. According to the American Academy of Ophthalmology Cataract and Anterior Segment Panel’s 2011 Preferred Practice Pattern Guidelines, cataract extraction is the most commonly performed eye surgery in the United States. Market Scope has estimated that in 2019 there were approximately 4.0 million cataract extractions performed in the United States.</w:t>
      </w:r>
    </w:p>
    <w:p>
      <w:pPr>
        <w:spacing w:after="0" w:line="188" w:lineRule="exact"/>
        <w:rPr>
          <w:sz w:val="20"/>
          <w:szCs w:val="20"/>
          <w:color w:val="auto"/>
        </w:rPr>
      </w:pPr>
    </w:p>
    <w:p>
      <w:pPr>
        <w:ind w:left="60" w:right="79" w:firstLine="441"/>
        <w:spacing w:after="0" w:line="270" w:lineRule="auto"/>
        <w:rPr>
          <w:sz w:val="20"/>
          <w:szCs w:val="20"/>
          <w:color w:val="auto"/>
        </w:rPr>
      </w:pPr>
      <w:r>
        <w:rPr>
          <w:rFonts w:ascii="Arial" w:cs="Arial" w:eastAsia="Arial" w:hAnsi="Arial"/>
          <w:sz w:val="17"/>
          <w:szCs w:val="17"/>
          <w:color w:val="auto"/>
        </w:rPr>
        <w:t>A cataract is a clouding of the lens inside the front of the eye. During cataract surgery, a patient’s cloudy natural lens is removed and replaced with a prosthetic intraocular lens. Clear corneal incision that allows entry to the eye is the typical method for performing cataract surgery. The most common post-surgical approach is to allow the incisions to self-seal, or close, through normal biological processes. However, self-sealing incisions can open spontaneously, especially within 12 to 24 hours following surgery, when IOP fluctuates or as a result of the application of external pressure or manipulation. In addition, incisions that are left to self-seal may leak, which can sometimes result in complications. Complications from fluid leakage include the development of hypotony, or low IOP, which can lead to corneal decompensation and vision loss, as well as the potential for infection. The implanted intraocular lens also may shift in position due to hypotony, leading to reduced visual outcomes following surgery.</w:t>
      </w:r>
    </w:p>
    <w:p>
      <w:pPr>
        <w:spacing w:after="0" w:line="181" w:lineRule="exact"/>
        <w:rPr>
          <w:sz w:val="20"/>
          <w:szCs w:val="20"/>
          <w:color w:val="auto"/>
        </w:rPr>
      </w:pPr>
    </w:p>
    <w:p>
      <w:pPr>
        <w:ind w:left="60" w:right="199" w:firstLine="441"/>
        <w:spacing w:after="0" w:line="272" w:lineRule="auto"/>
        <w:rPr>
          <w:sz w:val="20"/>
          <w:szCs w:val="20"/>
          <w:color w:val="auto"/>
        </w:rPr>
      </w:pPr>
      <w:r>
        <w:rPr>
          <w:rFonts w:ascii="Arial" w:cs="Arial" w:eastAsia="Arial" w:hAnsi="Arial"/>
          <w:sz w:val="17"/>
          <w:szCs w:val="17"/>
          <w:color w:val="auto"/>
        </w:rPr>
        <w:t>Sutures are the most widely used alternative method of wound closure. However, sutures do not completely prevent fluid leakage, are time-consuming to place and have been associated with patient discomfort, corneal distortion, and shallowing of the interior chamber. Sutures may also lead to astigmatism, a distortion of the cornea. An additional visit may be required to remove sutures, thus adding time, inconvenience and expense to the surgical process. These shortcomings limit the use of sutures in ophthalmic surgery. In a 2012 survey of ophthalmologists in the United States conducted by Lachman Consulting LLC, a healthcare consulting firm, respondents indicated that they use sutures in approximately 14% of cataract surgeries.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Ocular Therapeutix Approach</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Our Hydrogel Technology Platform</w:t>
      </w:r>
    </w:p>
    <w:p>
      <w:pPr>
        <w:spacing w:after="0" w:line="225" w:lineRule="exact"/>
        <w:rPr>
          <w:sz w:val="20"/>
          <w:szCs w:val="20"/>
          <w:color w:val="auto"/>
        </w:rPr>
      </w:pPr>
    </w:p>
    <w:p>
      <w:pPr>
        <w:ind w:left="60" w:right="139" w:firstLine="441"/>
        <w:spacing w:after="0" w:line="263" w:lineRule="auto"/>
        <w:rPr>
          <w:sz w:val="20"/>
          <w:szCs w:val="20"/>
          <w:color w:val="auto"/>
        </w:rPr>
      </w:pPr>
      <w:r>
        <w:rPr>
          <w:rFonts w:ascii="Arial" w:cs="Arial" w:eastAsia="Arial" w:hAnsi="Arial"/>
          <w:sz w:val="18"/>
          <w:szCs w:val="18"/>
          <w:color w:val="auto"/>
        </w:rPr>
        <w:t>We apply our expertise with an established bioresorbable hydrogel technology to the development of products for local programmed-release of known, FDA-approved therapeutic agents for a variety of ophthalmic diseases and conditions and to ophthalmic wound closure.</w:t>
      </w:r>
    </w:p>
    <w:p>
      <w:pPr>
        <w:spacing w:after="0" w:line="184" w:lineRule="exact"/>
        <w:rPr>
          <w:sz w:val="20"/>
          <w:szCs w:val="20"/>
          <w:color w:val="auto"/>
        </w:rPr>
      </w:pPr>
    </w:p>
    <w:p>
      <w:pPr>
        <w:ind w:left="60" w:right="139" w:firstLine="441"/>
        <w:spacing w:after="0" w:line="301" w:lineRule="auto"/>
        <w:rPr>
          <w:sz w:val="20"/>
          <w:szCs w:val="20"/>
          <w:color w:val="auto"/>
        </w:rPr>
      </w:pPr>
      <w:r>
        <w:rPr>
          <w:rFonts w:ascii="Arial" w:cs="Arial" w:eastAsia="Arial" w:hAnsi="Arial"/>
          <w:sz w:val="16"/>
          <w:szCs w:val="16"/>
          <w:color w:val="auto"/>
        </w:rPr>
        <w:t>Our bioresorbable hydrogel technology is based on the use of a proprietary form of PEG. Our technical capabilities include a deep understanding of the polymer chemistry of PEG-based hydrogels and the design of the highly specialized manufacturing processes required to achieve a reliable, preservative-free and pure product. We tailor the hydrogel to act as a vehicle for local programmed-release drug delivery to the eye and as an ocular tissue sealant.</w:t>
      </w:r>
    </w:p>
    <w:p>
      <w:pPr>
        <w:spacing w:after="0" w:line="157"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color w:val="auto"/>
        </w:rPr>
        <w:t>We create our hydrogels by cross-linking PEG molecules to form a network that resembles a three-dimensional mesh on a molecular level. Our PEG molecules are branched, with four to eight branches or arms. Each arm bears a reactive site on its end. Our cross-linking chemistry uses a second molecule with four arms, bearing complimentary reactive sites on each end, such that when combined with the PEG molecules, a network spontaneously forms. When swollen with water, this molecular network forms a hydrogel. We design these hydrogels to slowly degrade in the presence of water, a process called hydrolysis, by inserting a biodegradable linkage between the PEG molecule and the cross-linked molecule. By appropriately selecting the number of arms of the PEG molecule and the biodegradable linkage, we can design hydrogels with varying mechanical properties and bioresorption rates. Because the body has an abundance of water at a constant temperature and pH level, hydrolysis provides a predictable and reproducible degradation rate. Our technology enables us to make hydrogels that can bioresorb over days, weeks or several months. The figure below depicts the formation and bioresorption of the hydrogel for ReSure Sealant.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124460</wp:posOffset>
            </wp:positionV>
            <wp:extent cx="4646295" cy="1637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4629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Intracanalicular Inserts</w:t>
      </w:r>
    </w:p>
    <w:p>
      <w:pPr>
        <w:spacing w:after="0" w:line="225" w:lineRule="exact"/>
        <w:rPr>
          <w:sz w:val="20"/>
          <w:szCs w:val="20"/>
          <w:color w:val="auto"/>
        </w:rPr>
      </w:pPr>
    </w:p>
    <w:p>
      <w:pPr>
        <w:ind w:left="60" w:right="99" w:firstLine="441"/>
        <w:spacing w:after="0" w:line="272" w:lineRule="auto"/>
        <w:rPr>
          <w:sz w:val="20"/>
          <w:szCs w:val="20"/>
          <w:color w:val="auto"/>
        </w:rPr>
      </w:pPr>
      <w:r>
        <w:rPr>
          <w:rFonts w:ascii="Arial" w:cs="Arial" w:eastAsia="Arial" w:hAnsi="Arial"/>
          <w:sz w:val="17"/>
          <w:szCs w:val="17"/>
          <w:color w:val="auto"/>
        </w:rPr>
        <w:t>A punctum is a natural opening located in the inner portion of the eyelid near the nose. There is a punctum in each of the lower eyelids and the upper eyelids. The puncta open into nasolacrimal ducts, which collect and drain tears produced by the eyes’ lacrimal glands. Tears produced in the lacrimal glands sweep across the eye surface and drain through the puncta to the nasal cavity. The section of the nasolacrimal duct immediately beyond the puncta is called the vertical canaliculus. Intracanalicular inserts that do not contain an active drug are commonly used for treatment of dry eye disease by physically blocking tear drainage. Because intracanalicular inserts stay in contact with the tear film, they are well suited for local programmed-release of drug to the eye.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Intracanalicular insert shown positioned in the vertical canaliculus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17145</wp:posOffset>
            </wp:positionV>
            <wp:extent cx="2331720" cy="2340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31720"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right="119" w:firstLine="441"/>
        <w:spacing w:after="0" w:line="273" w:lineRule="auto"/>
        <w:rPr>
          <w:sz w:val="20"/>
          <w:szCs w:val="20"/>
          <w:color w:val="auto"/>
        </w:rPr>
      </w:pPr>
      <w:r>
        <w:rPr>
          <w:rFonts w:ascii="Arial" w:cs="Arial" w:eastAsia="Arial" w:hAnsi="Arial"/>
          <w:sz w:val="17"/>
          <w:szCs w:val="17"/>
          <w:color w:val="auto"/>
        </w:rPr>
        <w:t>Our intracanalicular inserts utilize our proprietary hydrogel technology and are embedded with an active drug. Following insertion through the punctum, our inserts swell in tear fluid to fill the vertical canaliculus, which secures the inserts in place. We design our inserts to release drug in a programmed fashion, tailored to each disease state, back through the punctum to the surface of the eye. Over time the inserts liquefy and are cleared through the nasolacrimal duct. If necessary due to excessive tearing, discomfort or improper placement, a healthcare professional can remove an intracanalicular insert by a process of pushing the soft insert back through the punctum.</w:t>
      </w:r>
    </w:p>
    <w:p>
      <w:pPr>
        <w:spacing w:after="0" w:line="178" w:lineRule="exact"/>
        <w:rPr>
          <w:sz w:val="20"/>
          <w:szCs w:val="20"/>
          <w:color w:val="auto"/>
        </w:rPr>
      </w:pPr>
    </w:p>
    <w:p>
      <w:pPr>
        <w:ind w:left="60" w:right="139" w:firstLine="441"/>
        <w:spacing w:after="0" w:line="272" w:lineRule="auto"/>
        <w:rPr>
          <w:sz w:val="20"/>
          <w:szCs w:val="20"/>
          <w:color w:val="auto"/>
        </w:rPr>
      </w:pPr>
      <w:r>
        <w:rPr>
          <w:rFonts w:ascii="Arial" w:cs="Arial" w:eastAsia="Arial" w:hAnsi="Arial"/>
          <w:sz w:val="17"/>
          <w:szCs w:val="17"/>
          <w:color w:val="auto"/>
        </w:rPr>
        <w:t>Our inserts allow incorporation of a variety of drugs with a controllable range of delivery durations and delivery rates. For acute conditions, such as post-surgical ocular inflammation and pain and ocular itching associated with allergic conjunctivitis, we have designed our intracanalicular inserts to provide a local programmed-release of therapeutic levels of drug for the duration of treatment. For chronic diseases, such as glaucoma, we have designed our intracanalicular inserts for repeat administration with extended dosing periods. We are concentrating our initial development efforts on intracanalicular inserts incorporating active pharmaceutical ingredients that are approved by the FDA for the targeted indication and that satisfy other specific selection criteria that we have developed.</w:t>
      </w:r>
    </w:p>
    <w:p>
      <w:pPr>
        <w:spacing w:after="0" w:line="177" w:lineRule="exact"/>
        <w:rPr>
          <w:sz w:val="20"/>
          <w:szCs w:val="20"/>
          <w:color w:val="auto"/>
        </w:rPr>
      </w:pPr>
    </w:p>
    <w:p>
      <w:pPr>
        <w:ind w:left="60" w:right="79" w:firstLine="441"/>
        <w:spacing w:after="0" w:line="259" w:lineRule="auto"/>
        <w:rPr>
          <w:sz w:val="20"/>
          <w:szCs w:val="20"/>
          <w:color w:val="auto"/>
        </w:rPr>
      </w:pPr>
      <w:r>
        <w:rPr>
          <w:rFonts w:ascii="Arial" w:cs="Arial" w:eastAsia="Arial" w:hAnsi="Arial"/>
          <w:sz w:val="18"/>
          <w:szCs w:val="18"/>
          <w:color w:val="auto"/>
        </w:rPr>
        <w:t>We manufacture our intracanalicular inserts from dried PEG-based hydrogel formed into tiny rods that hold an active pharmaceutical ingredient in a preservative-free formulation. We embed the active pharmaceutical ingredient in the pre-hydrogel liquid formulation, which then solidifies to form a hydrogel containing the drug within. The relative size of one of our intracanalicular inserts is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-8890</wp:posOffset>
            </wp:positionV>
            <wp:extent cx="1080135" cy="13373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013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right="279" w:firstLine="441"/>
        <w:spacing w:after="0" w:line="259" w:lineRule="auto"/>
        <w:rPr>
          <w:sz w:val="20"/>
          <w:szCs w:val="20"/>
          <w:color w:val="auto"/>
        </w:rPr>
      </w:pPr>
      <w:r>
        <w:rPr>
          <w:rFonts w:ascii="Arial" w:cs="Arial" w:eastAsia="Arial" w:hAnsi="Arial"/>
          <w:sz w:val="18"/>
          <w:szCs w:val="18"/>
          <w:color w:val="auto"/>
        </w:rPr>
        <w:t>We provide the intracanalicular insert as a thin dry rod to facilitate insertion through the narrow punctal opening. Upon hydration with tear fluid, the insert swells, softens, and conforms to roughly the size and shape of the vertical canaliculus, to secure it in place. We incorporate the active pharmaceutical ingredient in the form of micronized particles embedded directly in the hydrogel or as bioresorbable microspheres.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692150</wp:posOffset>
            </wp:positionV>
            <wp:extent cx="4080510" cy="2383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8051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60" w:right="99" w:firstLine="441"/>
        <w:spacing w:after="0" w:line="263" w:lineRule="auto"/>
        <w:rPr>
          <w:sz w:val="20"/>
          <w:szCs w:val="20"/>
          <w:color w:val="auto"/>
        </w:rPr>
      </w:pPr>
      <w:r>
        <w:rPr>
          <w:rFonts w:ascii="Arial" w:cs="Arial" w:eastAsia="Arial" w:hAnsi="Arial"/>
          <w:sz w:val="18"/>
          <w:szCs w:val="18"/>
          <w:color w:val="auto"/>
        </w:rPr>
        <w:t>We have included a fluorescent label, or marker, in our intracanalicular insert hydrogel to serve as a visualization aid for the healthcare professional to confirm the insert’s presence. The viewer applies a blue handheld light and a clear yellow filter aid to see the insert in the eyelid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125730</wp:posOffset>
            </wp:positionV>
            <wp:extent cx="1783080" cy="1611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 w:right="139" w:firstLine="441"/>
        <w:spacing w:after="0" w:line="270" w:lineRule="auto"/>
        <w:rPr>
          <w:sz w:val="20"/>
          <w:szCs w:val="20"/>
          <w:color w:val="auto"/>
        </w:rPr>
      </w:pPr>
      <w:r>
        <w:rPr>
          <w:rFonts w:ascii="Arial" w:cs="Arial" w:eastAsia="Arial" w:hAnsi="Arial"/>
          <w:sz w:val="17"/>
          <w:szCs w:val="17"/>
          <w:color w:val="auto"/>
        </w:rPr>
        <w:t>Because intracanalicular inserts stay in contact with the tear film, other companies have pursued the development of intracanalicular punctum plugs containing active drugs for local programmed release to the ocular surface. However, these earlier product designs had significant limitations with respect to drug capacity, drug release kinetics and patient comfort and used non-degradable punctum plugs with a clear silicone hard rubber shell containing only a core with active drug. These plugs typically extended outside of the punctal opening and secured themselves in place with an external cap. The external cap was in constant contact with the surface of the eye, which may cause irritation and discomfort in some cases. In addition, some prior designs resorted to plugging both the upper and lower puncta, which could cause excessive tearing and patient discomfort. These designs did not incorporate a visualization agent to allow the patient and physician to assess the presence of the plug.</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contrast to these prior approaches, we have designed our intracanalicular inserts to:</w:t>
      </w:r>
    </w:p>
    <w:p>
      <w:pPr>
        <w:spacing w:after="0" w:line="225" w:lineRule="exact"/>
        <w:rPr>
          <w:sz w:val="20"/>
          <w:szCs w:val="20"/>
          <w:color w:val="auto"/>
        </w:rPr>
      </w:pPr>
    </w:p>
    <w:p>
      <w:pPr>
        <w:ind w:left="840" w:right="499" w:hanging="331"/>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 the active pharmaceutical ingredient throughout the insert rather than just in a core to allow for higher drug capacity and better control over drug release;</w:t>
      </w:r>
    </w:p>
    <w:p>
      <w:pPr>
        <w:spacing w:after="0" w:line="170" w:lineRule="exact"/>
        <w:rPr>
          <w:rFonts w:ascii="Arial" w:cs="Arial" w:eastAsia="Arial" w:hAnsi="Arial"/>
          <w:sz w:val="18"/>
          <w:szCs w:val="18"/>
          <w:color w:val="auto"/>
        </w:rPr>
      </w:pPr>
    </w:p>
    <w:p>
      <w:pPr>
        <w:ind w:left="840" w:right="559" w:hanging="331"/>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bioresorbable so that removal is not required for acute conditions and required infrequently for chronic conditions;</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soft and to fit beneath the punctal opening for patient comfort;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right="259" w:hanging="331"/>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 a fluorescent label to allow the healthcare professional and patient to visualize and assess the presence of the insert.</w:t>
      </w:r>
    </w:p>
    <w:p>
      <w:pPr>
        <w:spacing w:after="0" w:line="170" w:lineRule="exact"/>
        <w:rPr>
          <w:sz w:val="20"/>
          <w:szCs w:val="20"/>
          <w:color w:val="auto"/>
        </w:rPr>
      </w:pPr>
    </w:p>
    <w:p>
      <w:pPr>
        <w:jc w:val="both"/>
        <w:ind w:left="60" w:right="139" w:firstLine="441"/>
        <w:spacing w:after="0" w:line="263" w:lineRule="auto"/>
        <w:rPr>
          <w:sz w:val="20"/>
          <w:szCs w:val="20"/>
          <w:color w:val="auto"/>
        </w:rPr>
      </w:pPr>
      <w:r>
        <w:rPr>
          <w:rFonts w:ascii="Arial" w:cs="Arial" w:eastAsia="Arial" w:hAnsi="Arial"/>
          <w:sz w:val="18"/>
          <w:szCs w:val="18"/>
          <w:color w:val="auto"/>
        </w:rPr>
        <w:t>We select the active pharmaceutical ingredients for our local programmed-release drug delivery product candidates, including our intracanalicular inserts, based on criteria we have developed through our extensive experience with hydrogel insert systems. Our active pharmaceutical ingredient selection criteria include:</w:t>
      </w:r>
    </w:p>
    <w:p>
      <w:pPr>
        <w:spacing w:after="0" w:line="184" w:lineRule="exact"/>
        <w:rPr>
          <w:sz w:val="20"/>
          <w:szCs w:val="20"/>
          <w:color w:val="auto"/>
        </w:rPr>
      </w:pPr>
    </w:p>
    <w:p>
      <w:pPr>
        <w:ind w:left="840" w:right="299" w:hanging="317"/>
        <w:spacing w:after="0" w:line="342"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prior approval by the FDA for the targeted ophthalmic indication, except for our OTX-TKI program in which the active pharmaceutical ingredient, axitinib, is not currently approved for an ophthalmic indication;</w:t>
      </w:r>
    </w:p>
    <w:p>
      <w:pPr>
        <w:spacing w:after="0" w:line="123" w:lineRule="exact"/>
        <w:rPr>
          <w:rFonts w:ascii="Arial" w:cs="Arial" w:eastAsia="Arial" w:hAnsi="Arial"/>
          <w:sz w:val="16"/>
          <w:szCs w:val="16"/>
          <w:color w:val="auto"/>
        </w:rPr>
      </w:pPr>
    </w:p>
    <w:p>
      <w:pPr>
        <w:ind w:left="840" w:hanging="317"/>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expiration of relevant patent protection prior to or within our anticipated development timeline;</w:t>
      </w:r>
    </w:p>
    <w:p>
      <w:pPr>
        <w:spacing w:after="0" w:line="252" w:lineRule="exact"/>
        <w:rPr>
          <w:rFonts w:ascii="Arial" w:cs="Arial" w:eastAsia="Arial" w:hAnsi="Arial"/>
          <w:sz w:val="18"/>
          <w:szCs w:val="18"/>
          <w:color w:val="auto"/>
        </w:rPr>
      </w:pPr>
    </w:p>
    <w:p>
      <w:pPr>
        <w:ind w:left="840" w:hanging="317"/>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 potency to minimize required drug load in the intracanalicular insert;</w:t>
      </w:r>
    </w:p>
    <w:p>
      <w:pPr>
        <w:spacing w:after="0" w:line="252" w:lineRule="exact"/>
        <w:rPr>
          <w:rFonts w:ascii="Arial" w:cs="Arial" w:eastAsia="Arial" w:hAnsi="Arial"/>
          <w:sz w:val="18"/>
          <w:szCs w:val="18"/>
          <w:color w:val="auto"/>
        </w:rPr>
      </w:pPr>
    </w:p>
    <w:p>
      <w:pPr>
        <w:ind w:left="840" w:hanging="317"/>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from a qualified supplier; and</w:t>
      </w:r>
    </w:p>
    <w:p>
      <w:pPr>
        <w:spacing w:after="0" w:line="252" w:lineRule="exact"/>
        <w:rPr>
          <w:rFonts w:ascii="Arial" w:cs="Arial" w:eastAsia="Arial" w:hAnsi="Arial"/>
          <w:sz w:val="18"/>
          <w:szCs w:val="18"/>
          <w:color w:val="auto"/>
        </w:rPr>
      </w:pPr>
    </w:p>
    <w:p>
      <w:pPr>
        <w:ind w:left="840" w:hanging="317"/>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compatibility with our drug delivery system.</w:t>
      </w:r>
    </w:p>
    <w:p>
      <w:pPr>
        <w:spacing w:after="0" w:line="252" w:lineRule="exact"/>
        <w:rPr>
          <w:sz w:val="20"/>
          <w:szCs w:val="20"/>
          <w:color w:val="auto"/>
        </w:rPr>
      </w:pPr>
    </w:p>
    <w:p>
      <w:pPr>
        <w:ind w:left="60" w:right="239" w:firstLine="441"/>
        <w:spacing w:after="0" w:line="342" w:lineRule="auto"/>
        <w:rPr>
          <w:sz w:val="20"/>
          <w:szCs w:val="20"/>
          <w:color w:val="auto"/>
        </w:rPr>
      </w:pPr>
      <w:r>
        <w:rPr>
          <w:rFonts w:ascii="Arial" w:cs="Arial" w:eastAsia="Arial" w:hAnsi="Arial"/>
          <w:sz w:val="16"/>
          <w:szCs w:val="16"/>
          <w:color w:val="auto"/>
        </w:rPr>
        <w:t>We believe our intracanalicular insert, intracameral implant and intravitreal implant product candidates may offer a range of favorable attributes as compared to eye drops and immediate release back-of-the-eye injections, including:</w:t>
      </w:r>
    </w:p>
    <w:p>
      <w:pPr>
        <w:spacing w:after="0" w:line="124" w:lineRule="exact"/>
        <w:rPr>
          <w:sz w:val="20"/>
          <w:szCs w:val="20"/>
          <w:color w:val="auto"/>
        </w:rPr>
      </w:pPr>
    </w:p>
    <w:p>
      <w:pPr>
        <w:jc w:val="both"/>
        <w:ind w:left="840" w:right="139" w:hanging="331"/>
        <w:spacing w:after="0" w:line="257"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Improved patient compliance</w:t>
      </w:r>
      <w:r>
        <w:rPr>
          <w:rFonts w:ascii="Arial" w:cs="Arial" w:eastAsia="Arial" w:hAnsi="Arial"/>
          <w:sz w:val="18"/>
          <w:szCs w:val="18"/>
          <w:color w:val="auto"/>
        </w:rPr>
        <w:t>. Our inserts and implants are placed by a healthcare professional and are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local programmed-release of drug to the ocular surface. Because patients are not responsible for self-administration of the drug and the inserts and implants dissipate over time and do not require removal for acute conditions or frequent removal for chronic conditions, we believe our inserts and implants address the problem of patient compliance.</w:t>
      </w:r>
    </w:p>
    <w:p>
      <w:pPr>
        <w:spacing w:after="0" w:line="214" w:lineRule="exact"/>
        <w:rPr>
          <w:rFonts w:ascii="Arial" w:cs="Arial" w:eastAsia="Arial" w:hAnsi="Arial"/>
          <w:sz w:val="18"/>
          <w:szCs w:val="18"/>
          <w:color w:val="auto"/>
        </w:rPr>
      </w:pPr>
    </w:p>
    <w:p>
      <w:pPr>
        <w:ind w:left="840" w:right="239" w:hanging="331"/>
        <w:spacing w:after="0" w:line="259"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Ease of administration</w:t>
      </w:r>
      <w:r>
        <w:rPr>
          <w:rFonts w:ascii="Arial" w:cs="Arial" w:eastAsia="Arial" w:hAnsi="Arial"/>
          <w:sz w:val="18"/>
          <w:szCs w:val="18"/>
          <w:color w:val="auto"/>
        </w:rPr>
        <w:t>. We have designed our inserts and implants to provide the entire course of medication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single administration by a healthcare professional for acute conditions or for several months for chronic conditions. We believe this avoids the need for frequent administration and the potential complications that could result if doses are missed.</w:t>
      </w:r>
    </w:p>
    <w:p>
      <w:pPr>
        <w:spacing w:after="0" w:line="213" w:lineRule="exact"/>
        <w:rPr>
          <w:rFonts w:ascii="Arial" w:cs="Arial" w:eastAsia="Arial" w:hAnsi="Arial"/>
          <w:sz w:val="18"/>
          <w:szCs w:val="18"/>
          <w:color w:val="auto"/>
        </w:rPr>
      </w:pPr>
    </w:p>
    <w:p>
      <w:pPr>
        <w:ind w:left="840" w:right="99" w:hanging="331"/>
        <w:spacing w:after="0" w:line="289"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Local programmed-release of drug</w:t>
      </w:r>
      <w:r>
        <w:rPr>
          <w:rFonts w:ascii="Arial" w:cs="Arial" w:eastAsia="Arial" w:hAnsi="Arial"/>
          <w:sz w:val="16"/>
          <w:szCs w:val="16"/>
          <w:color w:val="auto"/>
        </w:rPr>
        <w:t>. We have designed our inserts and implants to deliver drug in a programmed</w:t>
      </w:r>
      <w:r>
        <w:rPr>
          <w:rFonts w:ascii="Arial" w:cs="Arial" w:eastAsia="Arial" w:hAnsi="Arial"/>
          <w:sz w:val="16"/>
          <w:szCs w:val="16"/>
          <w:i w:val="1"/>
          <w:iCs w:val="1"/>
          <w:color w:val="auto"/>
        </w:rPr>
        <w:t xml:space="preserve"> </w:t>
      </w:r>
      <w:r>
        <w:rPr>
          <w:rFonts w:ascii="Arial" w:cs="Arial" w:eastAsia="Arial" w:hAnsi="Arial"/>
          <w:sz w:val="16"/>
          <w:szCs w:val="16"/>
          <w:color w:val="auto"/>
        </w:rPr>
        <w:t>fashion in order to avoid the peak and valley dosing and related side effects and spikes in IOP associated with eye drops. We also believe programmed-release dosing may improve the therapeutic profile of the active pharmaceutical ingredient because it eliminates periods of little or no drug presence between eye drop or back of the eye injection administrations. Further, we are designing our products and product candidates so that their drug release profiles can be tailored or programmed to match the treatment needs of the disease. For example, steroids for ophthalmic purposes generally require administration over four weeks, with tapered dosing over this period. In contrast, PGAs require administration in a steady fashion over the duration of treatment. Our inserts and implants are designed to fully dissipate and can be removed if necessary by a healthcare professional.</w:t>
      </w:r>
    </w:p>
    <w:p>
      <w:pPr>
        <w:spacing w:after="0" w:line="193" w:lineRule="exact"/>
        <w:rPr>
          <w:rFonts w:ascii="Arial" w:cs="Arial" w:eastAsia="Arial" w:hAnsi="Arial"/>
          <w:sz w:val="16"/>
          <w:szCs w:val="16"/>
          <w:color w:val="auto"/>
        </w:rPr>
      </w:pPr>
    </w:p>
    <w:p>
      <w:pPr>
        <w:ind w:left="840" w:right="119" w:hanging="331"/>
        <w:spacing w:after="0" w:line="263"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Avoidance of preservative side effects</w:t>
      </w:r>
      <w:r>
        <w:rPr>
          <w:rFonts w:ascii="Arial" w:cs="Arial" w:eastAsia="Arial" w:hAnsi="Arial"/>
          <w:sz w:val="18"/>
          <w:szCs w:val="18"/>
          <w:color w:val="auto"/>
        </w:rPr>
        <w:t>. Our inserts and implants do not involve the use of preservatives,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BAK, which have been linked to side effects including burning, stinging, hyperemia, irritation, eye dryness and, less frequently, conjunctivitis or corneal damage.</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Intracameral Implants</w:t>
      </w:r>
    </w:p>
    <w:p>
      <w:pPr>
        <w:spacing w:after="0" w:line="225"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We are engaged in the clinical development of our hydrogel administered via intracameral injection to address retinal diseases.</w:t>
      </w:r>
    </w:p>
    <w:p>
      <w:pPr>
        <w:spacing w:after="0" w:line="170" w:lineRule="exact"/>
        <w:rPr>
          <w:sz w:val="20"/>
          <w:szCs w:val="20"/>
          <w:color w:val="auto"/>
        </w:rPr>
      </w:pPr>
    </w:p>
    <w:p>
      <w:pPr>
        <w:ind w:left="60" w:right="239" w:firstLine="441"/>
        <w:spacing w:after="0" w:line="311" w:lineRule="auto"/>
        <w:rPr>
          <w:sz w:val="20"/>
          <w:szCs w:val="20"/>
          <w:color w:val="auto"/>
        </w:rPr>
      </w:pPr>
      <w:r>
        <w:rPr>
          <w:rFonts w:ascii="Arial" w:cs="Arial" w:eastAsia="Arial" w:hAnsi="Arial"/>
          <w:sz w:val="16"/>
          <w:szCs w:val="16"/>
          <w:color w:val="auto"/>
        </w:rPr>
        <w:t>Intracameral implants refer to biodegradable or bioresorbable implants placed into the anterior chamber or front of the eye for the treatment of ocular conditions. The implants are designed to be held in place by currents and gravity present in the anterior chamber of an eye. As an example, in the case of OTX-TIC, the implant is designed to infuse with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liquid, settle into the inferior angle of the eye and demonstrate little to no movement. The implants are preferably polymeric, biodegradable and provide sustained release of at least one therapeutic agent to both the trabecular meshwork and associated ocular tissue and the fluids within the anterior chamber of an 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-10795</wp:posOffset>
            </wp:positionV>
            <wp:extent cx="2983230" cy="1500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832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Intravitreal Implants</w:t>
      </w:r>
    </w:p>
    <w:p>
      <w:pPr>
        <w:spacing w:after="0" w:line="225" w:lineRule="exact"/>
        <w:rPr>
          <w:sz w:val="20"/>
          <w:szCs w:val="20"/>
          <w:color w:val="auto"/>
        </w:rPr>
      </w:pPr>
    </w:p>
    <w:p>
      <w:pPr>
        <w:ind w:left="60" w:right="199" w:firstLine="441"/>
        <w:spacing w:after="0" w:line="275" w:lineRule="auto"/>
        <w:rPr>
          <w:sz w:val="20"/>
          <w:szCs w:val="20"/>
          <w:color w:val="auto"/>
        </w:rPr>
      </w:pPr>
      <w:r>
        <w:rPr>
          <w:rFonts w:ascii="Arial" w:cs="Arial" w:eastAsia="Arial" w:hAnsi="Arial"/>
          <w:sz w:val="17"/>
          <w:szCs w:val="17"/>
          <w:color w:val="auto"/>
        </w:rPr>
        <w:t>We are engaged in the clinical development of our hydrogel administered via intravitreal injection to address the large and growing markets for diseases and conditions of the back of the eye. Our intravitreal implant product candidates consist of a PEG-based hydrogel suspension, which contains embedded micronized particles of active drug. We designed the intravitreal implant to be injected and retained in the vitreous humor, as depicted in the figure below, to provide local programmed-release intravitreal delivery of anti-VEGF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120650</wp:posOffset>
            </wp:positionV>
            <wp:extent cx="2545715" cy="2117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4571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right="219" w:firstLine="441"/>
        <w:spacing w:after="0" w:line="271" w:lineRule="auto"/>
        <w:rPr>
          <w:sz w:val="20"/>
          <w:szCs w:val="20"/>
          <w:color w:val="auto"/>
        </w:rPr>
      </w:pPr>
      <w:r>
        <w:rPr>
          <w:rFonts w:ascii="Arial" w:cs="Arial" w:eastAsia="Arial" w:hAnsi="Arial"/>
          <w:sz w:val="17"/>
          <w:szCs w:val="17"/>
          <w:color w:val="auto"/>
        </w:rPr>
        <w:t>Our initial intravitreal implant development efforts are focused on the use of our programmed-release hydrogel in combination with anti-angiogenic compounds such as protein-based anti-VEGF drugs or small molecule drugs, such as TKIs, for the treatment of retinal diseases, including wet AMD, RVO and DME. Our initial goal for these programs is to provide extended delivery of a protein-based large molecule or small molecule TKI targeting VEGF and other indications over a six-month period or longer following administration of a bioresorbable hydrogel incorporating the drug by an injection into the vitreous humor. This approach would reduce the frequency of the current monthly or bi-monthly intravitreal injection regimen for wet AMD and other retinal diseases and potentially provide a more consistent, uniform release of drug over the treatment period.</w:t>
      </w:r>
    </w:p>
    <w:p>
      <w:pPr>
        <w:spacing w:after="0" w:line="178" w:lineRule="exact"/>
        <w:rPr>
          <w:sz w:val="20"/>
          <w:szCs w:val="20"/>
          <w:color w:val="auto"/>
        </w:rPr>
      </w:pPr>
    </w:p>
    <w:p>
      <w:pPr>
        <w:ind w:left="60" w:right="219" w:firstLine="441"/>
        <w:spacing w:after="0" w:line="257" w:lineRule="auto"/>
        <w:rPr>
          <w:sz w:val="20"/>
          <w:szCs w:val="20"/>
          <w:color w:val="auto"/>
        </w:rPr>
      </w:pPr>
      <w:r>
        <w:rPr>
          <w:rFonts w:ascii="Arial" w:cs="Arial" w:eastAsia="Arial" w:hAnsi="Arial"/>
          <w:sz w:val="18"/>
          <w:szCs w:val="18"/>
          <w:color w:val="auto"/>
        </w:rPr>
        <w:t>We believe TKIs are well suited for use with our platform given their high potency, multi-target capability, and compatibility with a hydrogel vehicle. In the absence of a sophisticated drug delivery system, these drugs have been difficult to deliver to the eye for acceptable timeframes at therapeutic levels without causing local and systemic toxicity due to low drug solubility and notably short half-lives in solution. We believe our local drug delivery technology gives us potential advantages in this regard.</w:t>
      </w:r>
    </w:p>
    <w:p>
      <w:pPr>
        <w:spacing w:after="0" w:line="188" w:lineRule="exact"/>
        <w:rPr>
          <w:sz w:val="20"/>
          <w:szCs w:val="20"/>
          <w:color w:val="auto"/>
        </w:rPr>
      </w:pPr>
    </w:p>
    <w:p>
      <w:pPr>
        <w:ind w:left="60" w:right="299" w:firstLine="441"/>
        <w:spacing w:after="0" w:line="342" w:lineRule="auto"/>
        <w:rPr>
          <w:sz w:val="20"/>
          <w:szCs w:val="20"/>
          <w:color w:val="auto"/>
        </w:rPr>
      </w:pPr>
      <w:r>
        <w:rPr>
          <w:rFonts w:ascii="Arial" w:cs="Arial" w:eastAsia="Arial" w:hAnsi="Arial"/>
          <w:sz w:val="16"/>
          <w:szCs w:val="16"/>
          <w:color w:val="auto"/>
        </w:rPr>
        <w:t>We have designed our intravitreal implant for delivery using typically available syringes and fine gauge needles compatible with the current standard of care. Once in the vitreous humor, the hydrogel is designed to retain properties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TKI and anti-VEGF compounds until they are released. We have designed the hydrogel to liquefy, dissolve and be cleared from the eye through hydrolysis over time. We design our hydrogels to control the hydrogel biodegradation rate and, as a result, the timing of TKI and anti-VEGF compound release.</w:t>
      </w:r>
    </w:p>
    <w:p>
      <w:pPr>
        <w:spacing w:after="0" w:line="184" w:lineRule="exact"/>
        <w:rPr>
          <w:sz w:val="20"/>
          <w:szCs w:val="20"/>
          <w:color w:val="auto"/>
        </w:rPr>
      </w:pPr>
    </w:p>
    <w:p>
      <w:pPr>
        <w:ind w:left="60" w:right="239" w:firstLine="441"/>
        <w:spacing w:after="0" w:line="263" w:lineRule="auto"/>
        <w:rPr>
          <w:sz w:val="20"/>
          <w:szCs w:val="20"/>
          <w:color w:val="auto"/>
        </w:rPr>
      </w:pPr>
      <w:r>
        <w:rPr>
          <w:rFonts w:ascii="Arial" w:cs="Arial" w:eastAsia="Arial" w:hAnsi="Arial"/>
          <w:sz w:val="18"/>
          <w:szCs w:val="18"/>
          <w:color w:val="auto"/>
        </w:rPr>
        <w:t>By selecting a compound that is compatible with our hydrogel platform technology and that will have expiration of relevant patents within the timeline of our development program, we avoid the need to license the TKI molecule, thus retaining full worldwide rights to any products we develop.</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Suprachoroidal Injections</w:t>
      </w:r>
    </w:p>
    <w:p>
      <w:pPr>
        <w:spacing w:after="0" w:line="225" w:lineRule="exact"/>
        <w:rPr>
          <w:sz w:val="20"/>
          <w:szCs w:val="20"/>
          <w:color w:val="auto"/>
        </w:rPr>
      </w:pPr>
    </w:p>
    <w:p>
      <w:pPr>
        <w:ind w:left="60" w:right="59" w:firstLine="441"/>
        <w:spacing w:after="0" w:line="259" w:lineRule="auto"/>
        <w:rPr>
          <w:sz w:val="20"/>
          <w:szCs w:val="20"/>
          <w:color w:val="auto"/>
        </w:rPr>
      </w:pPr>
      <w:r>
        <w:rPr>
          <w:rFonts w:ascii="Arial" w:cs="Arial" w:eastAsia="Arial" w:hAnsi="Arial"/>
          <w:sz w:val="18"/>
          <w:szCs w:val="18"/>
          <w:color w:val="auto"/>
        </w:rPr>
        <w:t>The suprachoroidal space, which we refer to as the SCS, is a potential space between the sclera and choroid that traverses the circumference of the posterior segment of the eye. The SCS is believed to be an attractive site for drug delivery because drugs are able to target the choroid, retinal pigment endothelium and retina with high bioavailability while maintaining low levels of drug elsewhere in the 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-8890</wp:posOffset>
            </wp:positionV>
            <wp:extent cx="4568825" cy="1860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68825"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ReSure Sealant for Ocular Wound Closure</w:t>
      </w:r>
    </w:p>
    <w:p>
      <w:pPr>
        <w:spacing w:after="0" w:line="225" w:lineRule="exact"/>
        <w:rPr>
          <w:sz w:val="20"/>
          <w:szCs w:val="20"/>
          <w:color w:val="auto"/>
        </w:rPr>
      </w:pPr>
    </w:p>
    <w:p>
      <w:pPr>
        <w:ind w:left="60" w:right="99" w:firstLine="441"/>
        <w:spacing w:after="0" w:line="275" w:lineRule="auto"/>
        <w:rPr>
          <w:sz w:val="20"/>
          <w:szCs w:val="20"/>
          <w:color w:val="auto"/>
        </w:rPr>
      </w:pPr>
      <w:r>
        <w:rPr>
          <w:rFonts w:ascii="Arial" w:cs="Arial" w:eastAsia="Arial" w:hAnsi="Arial"/>
          <w:sz w:val="17"/>
          <w:szCs w:val="17"/>
          <w:color w:val="auto"/>
        </w:rPr>
        <w:t>ReSure Sealant is our bioresorbable hydrogel device for wound closure following cataract surgery. A surgeon applies ReSure Sealant as a liquid painted onto the corneal incision. Within about 15 seconds, the sealant cross-links and transforms into a smooth, lubricious hydrogel that seals the wound. ReSure Sealant dissipates as healing progresses and does not require removal. In the pivotal clinical trials that formed the basis for FDA approval, ReSure Sealant provided superior wound closure and a better safety profile than sutured 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Development Pipeline and Marketed Products</w:t>
      </w:r>
    </w:p>
    <w:p>
      <w:pPr>
        <w:spacing w:after="0" w:line="229" w:lineRule="exact"/>
        <w:rPr>
          <w:sz w:val="20"/>
          <w:szCs w:val="20"/>
          <w:color w:val="auto"/>
        </w:rPr>
      </w:pPr>
    </w:p>
    <w:p>
      <w:pPr>
        <w:jc w:val="both"/>
        <w:ind w:left="60" w:right="639" w:firstLine="441"/>
        <w:spacing w:after="0" w:line="263" w:lineRule="auto"/>
        <w:rPr>
          <w:sz w:val="20"/>
          <w:szCs w:val="20"/>
          <w:color w:val="auto"/>
        </w:rPr>
      </w:pPr>
      <w:r>
        <w:rPr>
          <w:rFonts w:ascii="Arial" w:cs="Arial" w:eastAsia="Arial" w:hAnsi="Arial"/>
          <w:sz w:val="18"/>
          <w:szCs w:val="18"/>
          <w:color w:val="auto"/>
        </w:rPr>
        <w:t>The following table summarizes important information about our key product development programs and our marketed products, DEXTENZA and ReSure Sealant. We hold worldwide commercial rights to each of our product candidates, DEXTENZA and ReSure Sealant.</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left="38"/>
              <w:spacing w:after="0"/>
              <w:rPr>
                <w:sz w:val="20"/>
                <w:szCs w:val="20"/>
                <w:color w:val="auto"/>
              </w:rPr>
            </w:pPr>
            <w:r>
              <w:rPr>
                <w:rFonts w:ascii="Arial" w:cs="Arial" w:eastAsia="Arial" w:hAnsi="Arial"/>
                <w:sz w:val="14"/>
                <w:szCs w:val="14"/>
                <w:b w:val="1"/>
                <w:bCs w:val="1"/>
                <w:color w:val="auto"/>
                <w:w w:val="93"/>
              </w:rPr>
              <w:t>Description</w:t>
            </w:r>
          </w:p>
        </w:tc>
        <w:tc>
          <w:tcPr>
            <w:tcW w:w="140" w:type="dxa"/>
            <w:vAlign w:val="bottom"/>
          </w:tcPr>
          <w:p>
            <w:pPr>
              <w:spacing w:after="0"/>
              <w:rPr>
                <w:sz w:val="14"/>
                <w:szCs w:val="14"/>
                <w:color w:val="auto"/>
              </w:rPr>
            </w:pPr>
          </w:p>
        </w:tc>
        <w:tc>
          <w:tcPr>
            <w:tcW w:w="9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0"/>
              </w:rPr>
              <w:t>Stage of</w:t>
            </w:r>
          </w:p>
        </w:tc>
        <w:tc>
          <w:tcPr>
            <w:tcW w:w="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 Program</w:t>
            </w:r>
          </w:p>
        </w:tc>
        <w:tc>
          <w:tcPr>
            <w:tcW w:w="140" w:type="dxa"/>
            <w:vAlign w:val="bottom"/>
          </w:tcPr>
          <w:p>
            <w:pPr>
              <w:spacing w:after="0"/>
              <w:rPr>
                <w:sz w:val="12"/>
                <w:szCs w:val="12"/>
                <w:color w:val="auto"/>
              </w:rPr>
            </w:pP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Indication</w:t>
            </w:r>
          </w:p>
        </w:tc>
        <w:tc>
          <w:tcPr>
            <w:tcW w:w="140" w:type="dxa"/>
            <w:vAlign w:val="bottom"/>
          </w:tcPr>
          <w:p>
            <w:pPr>
              <w:spacing w:after="0"/>
              <w:rPr>
                <w:sz w:val="12"/>
                <w:szCs w:val="12"/>
                <w:color w:val="auto"/>
              </w:rPr>
            </w:pPr>
          </w:p>
        </w:tc>
        <w:tc>
          <w:tcPr>
            <w:tcW w:w="1920" w:type="dxa"/>
            <w:vAlign w:val="bottom"/>
          </w:tcPr>
          <w:p>
            <w:pPr>
              <w:jc w:val="center"/>
              <w:ind w:left="38"/>
              <w:spacing w:after="0" w:line="149" w:lineRule="exact"/>
              <w:rPr>
                <w:sz w:val="20"/>
                <w:szCs w:val="20"/>
                <w:color w:val="auto"/>
              </w:rPr>
            </w:pPr>
            <w:r>
              <w:rPr>
                <w:rFonts w:ascii="Arial" w:cs="Arial" w:eastAsia="Arial" w:hAnsi="Arial"/>
                <w:sz w:val="14"/>
                <w:szCs w:val="14"/>
                <w:b w:val="1"/>
                <w:bCs w:val="1"/>
                <w:color w:val="auto"/>
                <w:w w:val="93"/>
              </w:rPr>
              <w:t>(Active Pharmaceutical</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1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left="38"/>
              <w:spacing w:after="0"/>
              <w:rPr>
                <w:sz w:val="20"/>
                <w:szCs w:val="20"/>
                <w:color w:val="auto"/>
              </w:rPr>
            </w:pPr>
            <w:r>
              <w:rPr>
                <w:rFonts w:ascii="Arial" w:cs="Arial" w:eastAsia="Arial" w:hAnsi="Arial"/>
                <w:sz w:val="14"/>
                <w:szCs w:val="14"/>
                <w:b w:val="1"/>
                <w:bCs w:val="1"/>
                <w:color w:val="auto"/>
                <w:w w:val="93"/>
              </w:rPr>
              <w:t>Ingredient)</w:t>
            </w:r>
          </w:p>
        </w:tc>
        <w:tc>
          <w:tcPr>
            <w:tcW w:w="140" w:type="dxa"/>
            <w:vAlign w:val="bottom"/>
          </w:tcPr>
          <w:p>
            <w:pPr>
              <w:spacing w:after="0"/>
              <w:rPr>
                <w:sz w:val="14"/>
                <w:szCs w:val="14"/>
                <w:color w:val="auto"/>
              </w:rPr>
            </w:pPr>
          </w:p>
        </w:tc>
        <w:tc>
          <w:tcPr>
            <w:tcW w:w="94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Development</w:t>
            </w:r>
          </w:p>
        </w:tc>
        <w:tc>
          <w:tcPr>
            <w:tcW w:w="16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8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2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Preclinical Stage</w:t>
            </w:r>
          </w:p>
        </w:tc>
        <w:tc>
          <w:tcPr>
            <w:tcW w:w="1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w w:val="98"/>
              </w:rPr>
              <w:t>Product Candidates</w:t>
            </w:r>
          </w:p>
        </w:tc>
        <w:tc>
          <w:tcPr>
            <w:tcW w:w="1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Wet AMD,</w:t>
            </w:r>
          </w:p>
        </w:tc>
        <w:tc>
          <w:tcPr>
            <w:tcW w:w="206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Suprachoroidal implant</w:t>
            </w:r>
          </w:p>
        </w:tc>
        <w:tc>
          <w:tcPr>
            <w:tcW w:w="108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Preclinical</w:t>
            </w:r>
          </w:p>
        </w:tc>
        <w:tc>
          <w:tcPr>
            <w:tcW w:w="284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In collaboration with corporate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OTX-AFS</w:t>
            </w:r>
          </w:p>
        </w:tc>
        <w:tc>
          <w:tcPr>
            <w:tcW w:w="14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206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DME and RVO</w:t>
            </w:r>
          </w:p>
        </w:tc>
        <w:tc>
          <w:tcPr>
            <w:tcW w:w="2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(Aflibercept)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partner Regeneron.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2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Early-Stage Clinical</w:t>
            </w:r>
          </w:p>
        </w:tc>
        <w:tc>
          <w:tcPr>
            <w:tcW w:w="1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Product</w:t>
            </w: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Candidates</w:t>
            </w:r>
          </w:p>
        </w:tc>
        <w:tc>
          <w:tcPr>
            <w:tcW w:w="1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Intravitreal implant</w:t>
            </w:r>
          </w:p>
        </w:tc>
        <w:tc>
          <w:tcPr>
            <w:tcW w:w="108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Phase 1</w:t>
            </w:r>
          </w:p>
        </w:tc>
        <w:tc>
          <w:tcPr>
            <w:tcW w:w="284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Australian Phase 1 clinical trial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OTX-TKI</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Wet AMD</w:t>
            </w:r>
          </w:p>
        </w:tc>
        <w:tc>
          <w:tcPr>
            <w:tcW w:w="206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(Axitinib)</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ongoing. Plan to initiate Phase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trial in the United States under eIND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in Q2 2021. Plan to initiate a Phase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2 clinical trial in Australia, pending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the receipt and review of topline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from the Phase 1 clinical trial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OTX-TIC</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Glaucoma or</w:t>
            </w:r>
          </w:p>
        </w:tc>
        <w:tc>
          <w:tcPr>
            <w:tcW w:w="2060" w:type="dxa"/>
            <w:vAlign w:val="bottom"/>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rPr>
              <w:t>Intracameral implant</w:t>
            </w:r>
          </w:p>
        </w:tc>
        <w:tc>
          <w:tcPr>
            <w:tcW w:w="1080" w:type="dxa"/>
            <w:vAlign w:val="bottom"/>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rPr>
              <w:t>Phase 1</w:t>
            </w:r>
          </w:p>
        </w:tc>
        <w:tc>
          <w:tcPr>
            <w:tcW w:w="2840" w:type="dxa"/>
            <w:vAlign w:val="bottom"/>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w w:val="97"/>
              </w:rPr>
              <w:t>Phase 1 clinical trial ongoing.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ocular</w:t>
            </w:r>
          </w:p>
        </w:tc>
        <w:tc>
          <w:tcPr>
            <w:tcW w:w="2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(Travoprost)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to commence Phase 2 clinical trial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hypertension</w:t>
            </w: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OTX-CSI</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Treatment of dry</w:t>
            </w:r>
          </w:p>
        </w:tc>
        <w:tc>
          <w:tcPr>
            <w:tcW w:w="1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Intracanalicular insert</w:t>
            </w:r>
          </w:p>
        </w:tc>
        <w:tc>
          <w:tcPr>
            <w:tcW w:w="1080" w:type="dxa"/>
            <w:vAlign w:val="bottom"/>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rPr>
              <w:t>Phase 2</w:t>
            </w:r>
          </w:p>
        </w:tc>
        <w:tc>
          <w:tcPr>
            <w:tcW w:w="2840" w:type="dxa"/>
            <w:vAlign w:val="bottom"/>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rPr>
              <w:t>Phase 2 clinical trial ongoing;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eye disease</w:t>
            </w: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(Cyclosporine)</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4"/>
              </w:rPr>
              <w:t>topline data anticipated in Q4 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OTX-DED</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Short-term</w:t>
            </w:r>
          </w:p>
        </w:tc>
        <w:tc>
          <w:tcPr>
            <w:tcW w:w="1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Intracanalicular insert</w:t>
            </w:r>
          </w:p>
        </w:tc>
        <w:tc>
          <w:tcPr>
            <w:tcW w:w="1080" w:type="dxa"/>
            <w:vAlign w:val="bottom"/>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rPr>
              <w:t>Phase 2</w:t>
            </w:r>
          </w:p>
        </w:tc>
        <w:tc>
          <w:tcPr>
            <w:tcW w:w="2840" w:type="dxa"/>
            <w:vAlign w:val="bottom"/>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w w:val="93"/>
              </w:rPr>
              <w:t>Commenced Phase 2 clinical trial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treatment of</w:t>
            </w: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(Dexamethasone)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first quarter 2021; topline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signs and</w:t>
            </w: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anticipated in first half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2"/>
              </w:rPr>
              <w:t>symptoms of dry</w:t>
            </w: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eye disease</w:t>
            </w:r>
          </w:p>
        </w:tc>
        <w:tc>
          <w:tcPr>
            <w:tcW w:w="1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2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Late Stage Clinical</w:t>
            </w:r>
          </w:p>
        </w:tc>
        <w:tc>
          <w:tcPr>
            <w:tcW w:w="1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Product</w:t>
            </w: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Candidates</w:t>
            </w:r>
          </w:p>
        </w:tc>
        <w:tc>
          <w:tcPr>
            <w:tcW w:w="138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Allergic</w:t>
            </w:r>
          </w:p>
        </w:tc>
        <w:tc>
          <w:tcPr>
            <w:tcW w:w="206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Intracanalicular insert</w:t>
            </w:r>
          </w:p>
        </w:tc>
        <w:tc>
          <w:tcPr>
            <w:tcW w:w="108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sNDA filed</w:t>
            </w:r>
          </w:p>
        </w:tc>
        <w:tc>
          <w:tcPr>
            <w:tcW w:w="284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PDUFA target action date of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DEXTENZA</w:t>
            </w:r>
          </w:p>
        </w:tc>
        <w:tc>
          <w:tcPr>
            <w:tcW w:w="1380" w:type="dxa"/>
            <w:vAlign w:val="bottom"/>
            <w:gridSpan w:val="2"/>
            <w:vMerge w:val="continue"/>
            <w:shd w:val="clear" w:color="auto" w:fill="CCEEFF"/>
          </w:tcPr>
          <w:p>
            <w:pPr>
              <w:spacing w:after="0"/>
              <w:rPr>
                <w:sz w:val="15"/>
                <w:szCs w:val="15"/>
                <w:color w:val="auto"/>
              </w:rPr>
            </w:pPr>
          </w:p>
        </w:tc>
        <w:tc>
          <w:tcPr>
            <w:tcW w:w="206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conjunctivitis</w:t>
            </w:r>
          </w:p>
        </w:tc>
        <w:tc>
          <w:tcPr>
            <w:tcW w:w="2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(Dexamethasone)</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October 18,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Approved Product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Intracanalicular insert</w:t>
            </w:r>
          </w:p>
        </w:tc>
        <w:tc>
          <w:tcPr>
            <w:tcW w:w="108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Marketed</w:t>
            </w:r>
          </w:p>
        </w:tc>
        <w:tc>
          <w:tcPr>
            <w:tcW w:w="2840" w:type="dxa"/>
            <w:vAlign w:val="bottom"/>
            <w:tcBorders>
              <w:bottom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Product commercially launched in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DEXTENZA</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Post-surgical</w:t>
            </w:r>
          </w:p>
        </w:tc>
        <w:tc>
          <w:tcPr>
            <w:tcW w:w="206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8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ocular</w:t>
            </w:r>
          </w:p>
        </w:tc>
        <w:tc>
          <w:tcPr>
            <w:tcW w:w="2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(Dexamethasone)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the United States in July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inflammation</w:t>
            </w: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and pain</w:t>
            </w:r>
          </w:p>
        </w:tc>
        <w:tc>
          <w:tcPr>
            <w:tcW w:w="1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ReSure Sealant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Cataract incision</w:t>
            </w:r>
          </w:p>
        </w:tc>
        <w:tc>
          <w:tcPr>
            <w:tcW w:w="20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Ocular sealant</w:t>
            </w:r>
          </w:p>
        </w:tc>
        <w:tc>
          <w:tcPr>
            <w:tcW w:w="10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Marketed</w:t>
            </w:r>
          </w:p>
        </w:tc>
        <w:tc>
          <w:tcPr>
            <w:tcW w:w="28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Product commercially launched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closure</w:t>
            </w:r>
          </w:p>
        </w:tc>
        <w:tc>
          <w:tcPr>
            <w:tcW w:w="1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the United States in February 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Retinal Disease Programs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OTX-TKI (axitinib intravitreal implant)</w:t>
      </w:r>
    </w:p>
    <w:p>
      <w:pPr>
        <w:spacing w:after="0" w:line="225" w:lineRule="exact"/>
        <w:rPr>
          <w:sz w:val="20"/>
          <w:szCs w:val="20"/>
          <w:color w:val="auto"/>
        </w:rPr>
      </w:pPr>
    </w:p>
    <w:p>
      <w:pPr>
        <w:ind w:left="60" w:right="519" w:firstLine="441"/>
        <w:spacing w:after="0" w:line="342" w:lineRule="auto"/>
        <w:rPr>
          <w:sz w:val="20"/>
          <w:szCs w:val="20"/>
          <w:color w:val="auto"/>
        </w:rPr>
      </w:pPr>
      <w:r>
        <w:rPr>
          <w:rFonts w:ascii="Arial" w:cs="Arial" w:eastAsia="Arial" w:hAnsi="Arial"/>
          <w:sz w:val="16"/>
          <w:szCs w:val="16"/>
          <w:color w:val="auto"/>
        </w:rPr>
        <w:t>Our current intravitreal implant development efforts are focused on the use of our sustained-release hydrogel in combination with anti-angiogenic compounds, including anti-VEGF compounds, for the treatment of wet AMD.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 xml:space="preserve">initial implants have delivered anti-VEGF compounds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over our targeted four to six month period, which we believe could make it possible to reduce the frequency of the current monthly or bi-monthly intravitreal injection regimen for wet AMD. In addition, our preclinical studies demonstrated a sustained pharmacodynamic effect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of over six months with a small molecule TKI.</w:t>
      </w:r>
    </w:p>
    <w:p>
      <w:pPr>
        <w:spacing w:after="0" w:line="187" w:lineRule="exact"/>
        <w:rPr>
          <w:sz w:val="20"/>
          <w:szCs w:val="20"/>
          <w:color w:val="auto"/>
        </w:rPr>
      </w:pPr>
    </w:p>
    <w:p>
      <w:pPr>
        <w:ind w:left="60" w:right="259" w:firstLine="441"/>
        <w:spacing w:after="0" w:line="257" w:lineRule="auto"/>
        <w:rPr>
          <w:sz w:val="20"/>
          <w:szCs w:val="20"/>
          <w:color w:val="auto"/>
        </w:rPr>
      </w:pPr>
      <w:r>
        <w:rPr>
          <w:rFonts w:ascii="Arial" w:cs="Arial" w:eastAsia="Arial" w:hAnsi="Arial"/>
          <w:sz w:val="18"/>
          <w:szCs w:val="18"/>
          <w:color w:val="auto"/>
        </w:rPr>
        <w:t>We believe axitinib is well suited for use with our platform given its high potency, multi-target capability, and compatibility with a hydrogel vehicle. In the absence of a sophisticated drug delivery system, TKIs have been difficult to deliver to the eye for acceptable time frames at therapeutic levels without causing local and systemic toxicity due to low drug solubility and very short half-lives in solution. We believe our local programmed-release drug delivery technology gives us potential advantages in this regard.</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In Vitro and preclinical results</w:t>
      </w:r>
    </w:p>
    <w:p>
      <w:pPr>
        <w:spacing w:after="0" w:line="225" w:lineRule="exact"/>
        <w:rPr>
          <w:sz w:val="20"/>
          <w:szCs w:val="20"/>
          <w:color w:val="auto"/>
        </w:rPr>
      </w:pPr>
    </w:p>
    <w:p>
      <w:pPr>
        <w:ind w:left="60" w:right="339" w:firstLine="441"/>
        <w:spacing w:after="0" w:line="259" w:lineRule="auto"/>
        <w:rPr>
          <w:sz w:val="20"/>
          <w:szCs w:val="20"/>
          <w:color w:val="auto"/>
        </w:rPr>
      </w:pPr>
      <w:r>
        <w:rPr>
          <w:rFonts w:ascii="Arial" w:cs="Arial" w:eastAsia="Arial" w:hAnsi="Arial"/>
          <w:sz w:val="18"/>
          <w:szCs w:val="18"/>
          <w:color w:val="auto"/>
        </w:rPr>
        <w:t xml:space="preserve">We have conducted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pharmacokinetic and pharmacodynamic studies with hydrogels loaded with axitinib injected intravitreally. Pharmacokinetic data showed retinal tissue drug concentrations in excess of 3,000 times the published concentration needed to inhibit VEGF by 50% after six months and pharmacodynamic results show sustained efficacy for six months.</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Phase 1 clinical development</w:t>
      </w:r>
    </w:p>
    <w:p>
      <w:pPr>
        <w:spacing w:after="0" w:line="225" w:lineRule="exact"/>
        <w:rPr>
          <w:sz w:val="20"/>
          <w:szCs w:val="20"/>
          <w:color w:val="auto"/>
        </w:rPr>
      </w:pPr>
    </w:p>
    <w:p>
      <w:pPr>
        <w:ind w:left="60" w:right="119" w:firstLine="441"/>
        <w:spacing w:after="0" w:line="272" w:lineRule="auto"/>
        <w:rPr>
          <w:sz w:val="20"/>
          <w:szCs w:val="20"/>
          <w:color w:val="auto"/>
        </w:rPr>
      </w:pPr>
      <w:r>
        <w:rPr>
          <w:rFonts w:ascii="Arial" w:cs="Arial" w:eastAsia="Arial" w:hAnsi="Arial"/>
          <w:sz w:val="17"/>
          <w:szCs w:val="17"/>
          <w:color w:val="auto"/>
        </w:rPr>
        <w:t>We are conducting an open-label, proof-of-concept Phase 1 clinical trial of OTX-TKI for the treatment of patients with neovascular age related macular degeneration, or wet AMD, caused by excessive blood vessel growth in the back of the eye due to VEGF. OTX-TKI is a bioresorbable hydrogel implant incorporating axitinib that is designed to be delivered via intravitreal injection into the vitreous humor of the eye and has an initial target duration of drug release for approximately six to nine months. Preclinical studies to date have demonstrated suppression of vascular leakage and good pharmacokinetics in the relevant ocular tissues. The Phase 1 clinical trial was submitted to the Therapeutic Goods Administration, Australia’s regulatory authority for therapeutic goods, in July 2018.</w:t>
      </w:r>
    </w:p>
    <w:p>
      <w:pPr>
        <w:spacing w:after="0" w:line="177"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In the first quarter of 2019, we began dosing subjects in a Phase 1 clinical trial in Australia. This clinical trial is a prospective, multi-center, open-label, does escalation study designed to evaluate the safety, durability, tolerability, and biological activity of OTX-TKI. We are evaluating biological activity by following visual acuity over time and measuring retinal thickness using standard optical coherence tomography, or OCT. Two cohorts have been enrolled, a lower dose cohort of 200 μg of six subjects and a higher dose cohort of 400 μg of seven subjects. In the first two fully enrolled cohorts, OTX-TKI was generally well tolerated and observed to have a favorable safety profile with no ocular serious adverse events noted. In the higher dose cohort, OTX-TKI showed a decrease in central subfield retinal thickness as measured by mean change in central subfield thickness values by decreases in intraretinal and/or subretinal fluid in some subjects.</w:t>
      </w:r>
    </w:p>
    <w:p>
      <w:pPr>
        <w:spacing w:after="0" w:line="165" w:lineRule="exact"/>
        <w:rPr>
          <w:sz w:val="20"/>
          <w:szCs w:val="20"/>
          <w:color w:val="auto"/>
        </w:rPr>
      </w:pPr>
    </w:p>
    <w:p>
      <w:pPr>
        <w:ind w:left="60" w:right="79" w:firstLine="405"/>
        <w:spacing w:after="0" w:line="259" w:lineRule="auto"/>
        <w:rPr>
          <w:sz w:val="20"/>
          <w:szCs w:val="20"/>
          <w:color w:val="auto"/>
        </w:rPr>
      </w:pPr>
      <w:r>
        <w:rPr>
          <w:rFonts w:ascii="Arial" w:cs="Arial" w:eastAsia="Arial" w:hAnsi="Arial"/>
          <w:sz w:val="18"/>
          <w:szCs w:val="18"/>
          <w:color w:val="auto"/>
        </w:rPr>
        <w:t>We amended our clinical trial protocol to enroll two additional cohorts, cohort 3a consisting of six patients being administered a 600 µg dose and cohort 3b consisting of six patients being administered a 400 µg dose plus an induction injection of the anti-VEGF drug aflibercept. Cohort 3a is fully enrolled and patients are being monitored while cohort 3b is still enrolling.</w:t>
      </w:r>
    </w:p>
    <w:p>
      <w:pPr>
        <w:spacing w:after="0" w:line="187" w:lineRule="exact"/>
        <w:rPr>
          <w:sz w:val="20"/>
          <w:szCs w:val="20"/>
          <w:color w:val="auto"/>
        </w:rPr>
      </w:pPr>
    </w:p>
    <w:p>
      <w:pPr>
        <w:ind w:left="60" w:right="79" w:firstLine="441"/>
        <w:spacing w:after="0" w:line="254" w:lineRule="auto"/>
        <w:rPr>
          <w:sz w:val="20"/>
          <w:szCs w:val="20"/>
          <w:color w:val="auto"/>
        </w:rPr>
      </w:pPr>
      <w:r>
        <w:rPr>
          <w:rFonts w:ascii="Arial" w:cs="Arial" w:eastAsia="Arial" w:hAnsi="Arial"/>
          <w:sz w:val="18"/>
          <w:szCs w:val="18"/>
          <w:color w:val="auto"/>
        </w:rPr>
        <w:t>In February, interim data from this Phase 1 clinical trial of OTX-TKI was presented at the Angiogenesis, Exudation and Degeneration 2021 Virtual conference hosted by the Bascom Palmer Eye Institute, University of Miami Health System. We believe that OTX-TKI has demonstrated a preliminary signal of biological activity as observed by a clinically-meaningful decrease in retinal fluid as measured by high resolution OCT that provides cross-sectional images of the anatomical structure of the retina. As observed in cohort 2 (400 µg dose) and cohort 3a (600 µg dose), some subjects showed a decrease in intraretinal or subretinal fluid by two months after injection. In cohort 3b (400 µg dose plus anti-VEGF induction injection of aflibercept), two subjects were observed to have a decrease in intraretinal and/or subretinal fluid as early as a week after injection.</w:t>
      </w:r>
    </w:p>
    <w:p>
      <w:pPr>
        <w:spacing w:after="0" w:line="165" w:lineRule="exact"/>
        <w:rPr>
          <w:sz w:val="20"/>
          <w:szCs w:val="20"/>
          <w:color w:val="auto"/>
        </w:rPr>
      </w:pPr>
    </w:p>
    <w:p>
      <w:pPr>
        <w:ind w:left="60" w:right="359" w:firstLine="441"/>
        <w:spacing w:after="0" w:line="263" w:lineRule="auto"/>
        <w:rPr>
          <w:sz w:val="20"/>
          <w:szCs w:val="20"/>
          <w:color w:val="auto"/>
        </w:rPr>
      </w:pPr>
      <w:r>
        <w:rPr>
          <w:rFonts w:ascii="Arial" w:cs="Arial" w:eastAsia="Arial" w:hAnsi="Arial"/>
          <w:sz w:val="18"/>
          <w:szCs w:val="18"/>
          <w:color w:val="auto"/>
        </w:rPr>
        <w:t>In addition, the OTX-TKI implants in cohort 1 were observed to have biodegraded in all subjects within 9 to 10.5 months of injection. It has also been observed that the implants are able to be adequately monitored and that there is limited to no movement of the implant in the anterior segment of the eye.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441"/>
        <w:spacing w:after="0" w:line="263" w:lineRule="auto"/>
        <w:rPr>
          <w:sz w:val="20"/>
          <w:szCs w:val="20"/>
          <w:color w:val="auto"/>
        </w:rPr>
      </w:pPr>
      <w:r>
        <w:rPr>
          <w:rFonts w:ascii="Arial" w:cs="Arial" w:eastAsia="Arial" w:hAnsi="Arial"/>
          <w:sz w:val="18"/>
          <w:szCs w:val="18"/>
          <w:color w:val="auto"/>
        </w:rPr>
        <w:t>These findings are supported by the graphs below that present the mean change in central subfield thickness, or CSFT, and in best corrected visual acuity, or BCVA, across the four cohorts as well as specific patient images from cohorts 2, 3a and 3b showing declines in intraretinal and/or subretinal fluid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5349240" cy="6035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603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692150</wp:posOffset>
            </wp:positionV>
            <wp:extent cx="5349240" cy="30175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right="99" w:firstLine="486"/>
        <w:spacing w:after="0" w:line="279" w:lineRule="auto"/>
        <w:rPr>
          <w:sz w:val="20"/>
          <w:szCs w:val="20"/>
          <w:color w:val="auto"/>
        </w:rPr>
      </w:pPr>
      <w:r>
        <w:rPr>
          <w:rFonts w:ascii="Arial" w:cs="Arial" w:eastAsia="Arial" w:hAnsi="Arial"/>
          <w:sz w:val="17"/>
          <w:szCs w:val="17"/>
          <w:color w:val="auto"/>
        </w:rPr>
        <w:t>OTX-TKI has been observed to have a favorable safety profile and be generally well-tolerated to date. There have been no ocular serious adverse events reported. Plasma concentrations of the active drug (axitinib) were measured to be below the limit of quantification of assay, or BLQ &lt; 0.1 ng/ml, at all sampled time points for all patients in cohorts 1 and 2. This assessment indicates that there is no measurable systemic exposure to axitinib.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30175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right="319" w:firstLine="486"/>
        <w:spacing w:after="0" w:line="301" w:lineRule="auto"/>
        <w:rPr>
          <w:sz w:val="20"/>
          <w:szCs w:val="20"/>
          <w:color w:val="auto"/>
        </w:rPr>
      </w:pPr>
      <w:r>
        <w:rPr>
          <w:rFonts w:ascii="Arial" w:cs="Arial" w:eastAsia="Arial" w:hAnsi="Arial"/>
          <w:sz w:val="16"/>
          <w:szCs w:val="16"/>
          <w:color w:val="auto"/>
        </w:rPr>
        <w:t>We believe that the interim data suggests that OTX-TKI is durable and may extend the duration of action beyond several months. As noted in the table below, 50% of cohort 1 (200 µg dose) subjects, or 3 out of 6, and 57% of cohort 2 (400 µg dose) subjects, or 4 out of 7, did not require rescue medication at or before six months post-injection. Further, several subjects in cohort 2 demonstrated durability of therapy for over 6 months and one subject demonstrated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durability out to 13.5 months without rescue. In cohort 3a, one subject has demonstrated durability of therapy up to six months so far. Follow-up remains ongoing for all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30175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Planned Phase 1 Clinical Trial (United States)</w:t>
      </w:r>
    </w:p>
    <w:p>
      <w:pPr>
        <w:spacing w:after="0" w:line="225" w:lineRule="exact"/>
        <w:rPr>
          <w:sz w:val="20"/>
          <w:szCs w:val="20"/>
          <w:color w:val="auto"/>
        </w:rPr>
      </w:pPr>
    </w:p>
    <w:p>
      <w:pPr>
        <w:ind w:left="60" w:right="59" w:firstLine="486"/>
        <w:spacing w:after="0" w:line="296" w:lineRule="auto"/>
        <w:rPr>
          <w:sz w:val="20"/>
          <w:szCs w:val="20"/>
          <w:color w:val="auto"/>
        </w:rPr>
      </w:pPr>
      <w:r>
        <w:rPr>
          <w:rFonts w:ascii="Arial" w:cs="Arial" w:eastAsia="Arial" w:hAnsi="Arial"/>
          <w:sz w:val="16"/>
          <w:szCs w:val="16"/>
          <w:color w:val="auto"/>
        </w:rPr>
        <w:t>We also plan to initiate a randomized, masked Phase 1 clinical trial of up to 20 subjects in the United States under an eIND application in mid-2021 to evaluate 15 subjects dosed with a 600 µg dose of OTX-TKI in comparison to 5 subjects receiving a 2 mg dose of aflibercept every eight weeks for the treatment of wet AMD, DME and RVO. The clinical trial will evaluate biological activity, as measured by CSFT and BCVA, tolerability and durability. We have requested a pre-IND meeting with the FDA to discuss a possible plan to transition from an eIND application to a traditional IND application.</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Planned Phase 2 Clinical Trial (Australia)</w:t>
      </w:r>
    </w:p>
    <w:p>
      <w:pPr>
        <w:spacing w:after="0" w:line="225" w:lineRule="exact"/>
        <w:rPr>
          <w:sz w:val="20"/>
          <w:szCs w:val="20"/>
          <w:color w:val="auto"/>
        </w:rPr>
      </w:pPr>
    </w:p>
    <w:p>
      <w:pPr>
        <w:ind w:left="60" w:right="59" w:firstLine="486"/>
        <w:spacing w:after="0" w:line="254" w:lineRule="auto"/>
        <w:rPr>
          <w:sz w:val="20"/>
          <w:szCs w:val="20"/>
          <w:color w:val="auto"/>
        </w:rPr>
      </w:pPr>
      <w:r>
        <w:rPr>
          <w:rFonts w:ascii="Arial" w:cs="Arial" w:eastAsia="Arial" w:hAnsi="Arial"/>
          <w:sz w:val="18"/>
          <w:szCs w:val="18"/>
          <w:color w:val="auto"/>
        </w:rPr>
        <w:t>Pending our receipt and review of the topline data from the Phase 1 clinical trial in Australia and related regulatory discussions, we plan to initiate a Phase 2 clinical trial in Australia to compare the administration of a single dose of 600 µg OTX-TKI in combination with an anti-VEGF induction injection of a 2 mg dose of aflibercept, a current standard of care anti-VEGF therapy, to a 2mg dose of aflibercept alone as the comparator. The Phase 2 clinical trial is anticipated to include approximately 100 subjects with wet AMD but who have responded to current standard of care anti-VEGF treatment and currently show an absence of fluid. The Phase 2 clinical trial will be designed to evaluate efficacy, as measured by CSFT and BCVA, tolerability and durability.</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Regulatory Pathway</w:t>
      </w:r>
    </w:p>
    <w:p>
      <w:pPr>
        <w:spacing w:after="0" w:line="225" w:lineRule="exact"/>
        <w:rPr>
          <w:sz w:val="20"/>
          <w:szCs w:val="20"/>
          <w:color w:val="auto"/>
        </w:rPr>
      </w:pPr>
    </w:p>
    <w:p>
      <w:pPr>
        <w:ind w:left="60" w:right="79" w:firstLine="486"/>
        <w:spacing w:after="0" w:line="259" w:lineRule="auto"/>
        <w:rPr>
          <w:sz w:val="20"/>
          <w:szCs w:val="20"/>
          <w:color w:val="auto"/>
        </w:rPr>
      </w:pPr>
      <w:r>
        <w:rPr>
          <w:rFonts w:ascii="Arial" w:cs="Arial" w:eastAsia="Arial" w:hAnsi="Arial"/>
          <w:sz w:val="18"/>
          <w:szCs w:val="18"/>
          <w:color w:val="auto"/>
        </w:rPr>
        <w:t>If we receive positive data from the Phase 1 clinical trial in the United States, we plan to initiate a Phase 2 clinical trial and two Phase 3 clinical trials in the United States for the treatment of wet AMD, DME and RVO. If our development efforts are successful, we expect that we would submit an NDA under Section 505(b)(2) of the FDCA. See “—Government Regulation—Section 505(b)(2) NDAs” for additional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OTX-AFS (aflibercept suprachoroidal implant) in Collaboration with Regeneron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Regeneron Collaboration Agreement</w:t>
      </w:r>
    </w:p>
    <w:p>
      <w:pPr>
        <w:spacing w:after="0" w:line="225" w:lineRule="exact"/>
        <w:rPr>
          <w:sz w:val="20"/>
          <w:szCs w:val="20"/>
          <w:color w:val="auto"/>
        </w:rPr>
      </w:pPr>
    </w:p>
    <w:p>
      <w:pPr>
        <w:ind w:left="60" w:right="299" w:firstLine="441"/>
        <w:spacing w:after="0" w:line="291" w:lineRule="auto"/>
        <w:rPr>
          <w:sz w:val="20"/>
          <w:szCs w:val="20"/>
          <w:color w:val="auto"/>
        </w:rPr>
      </w:pPr>
      <w:r>
        <w:rPr>
          <w:rFonts w:ascii="Arial" w:cs="Arial" w:eastAsia="Arial" w:hAnsi="Arial"/>
          <w:sz w:val="16"/>
          <w:szCs w:val="16"/>
          <w:color w:val="auto"/>
        </w:rPr>
        <w:t>In October 2016, we entered into a strategic collaboration, option and license agreement with Regeneron for the development and potential commercialization of products using our extended-delivery hydrogel formulation in combination with Regeneron’s large molecule VEGF-targeting compounds for the treatment of retinal diseases, with the initial focus on the VEGF trap aflibercept, currently marketed under the brand name Eylea. We and Regeneron amended this agreement in May 2020 to, among other things, transition joint efforts under the collaboration to the research and development of an extended-delivery formulation of aflibercept to be delivered to the suprachoroidal space. We refer to the collaboration, option and license agreement, as amended to date, as the Collaboration Agreement.</w:t>
      </w:r>
    </w:p>
    <w:p>
      <w:pPr>
        <w:spacing w:after="0" w:line="166" w:lineRule="exact"/>
        <w:rPr>
          <w:sz w:val="20"/>
          <w:szCs w:val="20"/>
          <w:color w:val="auto"/>
        </w:rPr>
      </w:pPr>
    </w:p>
    <w:p>
      <w:pPr>
        <w:ind w:left="60" w:right="179" w:firstLine="441"/>
        <w:spacing w:after="0" w:line="289" w:lineRule="auto"/>
        <w:rPr>
          <w:sz w:val="20"/>
          <w:szCs w:val="20"/>
          <w:color w:val="auto"/>
        </w:rPr>
      </w:pPr>
      <w:r>
        <w:rPr>
          <w:rFonts w:ascii="Arial" w:cs="Arial" w:eastAsia="Arial" w:hAnsi="Arial"/>
          <w:sz w:val="16"/>
          <w:szCs w:val="16"/>
          <w:color w:val="auto"/>
        </w:rPr>
        <w:t>Under the terms of the Collaboration Agreement, we granted Regeneron an option, or the Option, to enter into an exclusive, worldwide license under our intellectual property to develop and commercialize products using our hydrogel in combination with Regeneron’s large molecule VEGF-targeting compounds, or Regeneron Licensed Products. The Collaboration Agreement does not cover the development of any products that deliver small molecule drugs, including TKIs, for any target including VEGF, or any products that deliver large molecule drugs other than those that target VEGF proteins. Under the terms of the Collaboration Agreement, we and Regeneron agreed to conduct a joint research program with the aim of developing an extended-delivery formulation of aflibercept that is suitable for advancement into clinical development. Regeneron has agreed to pay our personnel and material costs of ours for specified preclinical development activities in connection with the revised workplan, as well as costs of certain specialty equipment.</w:t>
      </w:r>
    </w:p>
    <w:p>
      <w:pPr>
        <w:spacing w:after="0" w:line="166" w:lineRule="exact"/>
        <w:rPr>
          <w:sz w:val="20"/>
          <w:szCs w:val="20"/>
          <w:color w:val="auto"/>
        </w:rPr>
      </w:pPr>
    </w:p>
    <w:p>
      <w:pPr>
        <w:ind w:left="60" w:right="99" w:firstLine="441"/>
        <w:spacing w:after="0" w:line="287" w:lineRule="auto"/>
        <w:rPr>
          <w:sz w:val="20"/>
          <w:szCs w:val="20"/>
          <w:color w:val="auto"/>
        </w:rPr>
      </w:pPr>
      <w:r>
        <w:rPr>
          <w:rFonts w:ascii="Arial" w:cs="Arial" w:eastAsia="Arial" w:hAnsi="Arial"/>
          <w:sz w:val="16"/>
          <w:szCs w:val="16"/>
          <w:color w:val="auto"/>
        </w:rPr>
        <w:t>Under the terms of the Collaboration Agreement, Regeneron is responsible for funding an initial preclinical tolerability study. If the Option is exercised, Regeneron will be obligated to conduct further preclinical development and an initial clinical trial under a collaboration plan. We are obligated to reimburse Regeneron for certain development costs during the period through the completion of the initial clinical trial, subject to a cap of $25 million, which cap may be increased by up to $5 million under certain circumstances. We do not expect our funding requirements under the collaboration to be material over the next twelve months. If Regeneron elects to proceed with further development beyond the initial clinical trial, it will be solely responsible for conducting and funding further development and commercialization of product candidates. If the Option is exercised, Regeneron is required to use commercially reasonable efforts to research, develop and commercialize at least one Regeneron Licensed Product. Such efforts shall include initiating the dosing phase of a subsequent clinical trial within specified time periods following the completion of the first-in-human clinical trial or the initiation of preclinical toxicology studies, subject to certain extensions.</w:t>
      </w:r>
    </w:p>
    <w:p>
      <w:pPr>
        <w:spacing w:after="0" w:line="172" w:lineRule="exact"/>
        <w:rPr>
          <w:sz w:val="20"/>
          <w:szCs w:val="20"/>
          <w:color w:val="auto"/>
        </w:rPr>
      </w:pPr>
    </w:p>
    <w:p>
      <w:pPr>
        <w:ind w:left="60" w:right="99" w:firstLine="441"/>
        <w:spacing w:after="0" w:line="272" w:lineRule="auto"/>
        <w:rPr>
          <w:sz w:val="20"/>
          <w:szCs w:val="20"/>
          <w:color w:val="auto"/>
        </w:rPr>
      </w:pPr>
      <w:r>
        <w:rPr>
          <w:rFonts w:ascii="Arial" w:cs="Arial" w:eastAsia="Arial" w:hAnsi="Arial"/>
          <w:sz w:val="17"/>
          <w:szCs w:val="17"/>
          <w:color w:val="auto"/>
        </w:rPr>
        <w:t>Under the terms of the Collaboration Agreement, Regeneron has agreed to pay us $10 million upon exercise of the Option. If Regeneron elects to exercise the Option, we are also eligible to receive up to $145 million per Regeneron Licensed Product upon the achievement of specified development and regulatory milestones, including successful results from the first-in-human clinical trial; $100 million per Regeneron Licensed Product upon first commercial sale of such Regeneron Licensed Product; and up to $50 million based on the achievement of specified sales milestones for all Regeneron Licensed Products. In addition, we are entitled to tiered, escalating royalties, in a range from a high-single digit to a low-to-mid teen percentage of net sales of Regeneron Licensed Products.</w:t>
      </w:r>
    </w:p>
    <w:p>
      <w:pPr>
        <w:spacing w:after="0" w:line="177" w:lineRule="exact"/>
        <w:rPr>
          <w:sz w:val="20"/>
          <w:szCs w:val="20"/>
          <w:color w:val="auto"/>
        </w:rPr>
      </w:pPr>
    </w:p>
    <w:p>
      <w:pPr>
        <w:ind w:left="60" w:right="539" w:firstLine="441"/>
        <w:spacing w:after="0" w:line="286" w:lineRule="auto"/>
        <w:rPr>
          <w:sz w:val="20"/>
          <w:szCs w:val="20"/>
          <w:color w:val="auto"/>
        </w:rPr>
      </w:pPr>
      <w:r>
        <w:rPr>
          <w:rFonts w:ascii="Arial" w:cs="Arial" w:eastAsia="Arial" w:hAnsi="Arial"/>
          <w:sz w:val="17"/>
          <w:szCs w:val="17"/>
          <w:color w:val="auto"/>
        </w:rPr>
        <w:t>As amended, the Option is exclusive for twenty-four months following May 8, 2020. The field of the potential license remains limited to Regeneron Licensed Products delivered by local administration to or around the eye for diagnostic, therapeutic, or prophylactic purposes relating to ophthalmic diseases or conditions.</w:t>
      </w:r>
    </w:p>
    <w:p>
      <w:pPr>
        <w:spacing w:after="0" w:line="165" w:lineRule="exact"/>
        <w:rPr>
          <w:sz w:val="20"/>
          <w:szCs w:val="20"/>
          <w:color w:val="auto"/>
        </w:rPr>
      </w:pPr>
    </w:p>
    <w:p>
      <w:pPr>
        <w:ind w:left="60" w:right="99" w:firstLine="441"/>
        <w:spacing w:after="0" w:line="287" w:lineRule="auto"/>
        <w:rPr>
          <w:sz w:val="20"/>
          <w:szCs w:val="20"/>
          <w:color w:val="auto"/>
        </w:rPr>
      </w:pPr>
      <w:r>
        <w:rPr>
          <w:rFonts w:ascii="Arial" w:cs="Arial" w:eastAsia="Arial" w:hAnsi="Arial"/>
          <w:sz w:val="16"/>
          <w:szCs w:val="16"/>
          <w:color w:val="auto"/>
        </w:rPr>
        <w:t>The Collaboration Agreement will automatically terminate upon the failure of Regeneron to conduct or complete certain preclinical activities within specified timeframes or provide required notices regarding such certain preclinical activities to us, in each case subject to specified exceptions, unless Regeneron exercises its Option, the matter has been referred to the joint research committee, or the parties have otherwise agreed in writing. The Agreement will also terminate if Regeneron has not exercised its Option prior to the expiration of the Option Period. If Regeneron has timely exercised its Option, the Collaboration Agreement will expire on a Regeneron Licensed Product-by-Regeneron Licensed Product and country-by-country basis upon the expiration of the later of 10 years from the date of first commercial sale in such country or the expiration of all patent rights covering a Regeneron Licensed Product in such country. We have agreed to grant Regeneron a fully paid-up, non-exclusive license to continue to develop and commercialize the Regeneron Licensed Products following expiration. The Collaboration Agreement is terminable by Regeneron at its convenience, for any or all of the Regeneron Licensed Products, upon prior written notice. Either party may, subject to a</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cure period, terminate the Collaboration Agreement in the event of the other party’s uncured material breach, in addition to other specified termination rights.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Glaucoma Program</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OTX-TIC (travoprost intracameral implant)</w:t>
      </w:r>
    </w:p>
    <w:p>
      <w:pPr>
        <w:spacing w:after="0" w:line="225" w:lineRule="exact"/>
        <w:rPr>
          <w:sz w:val="20"/>
          <w:szCs w:val="20"/>
          <w:color w:val="auto"/>
        </w:rPr>
      </w:pPr>
    </w:p>
    <w:p>
      <w:pPr>
        <w:ind w:left="60" w:right="179" w:firstLine="486"/>
        <w:spacing w:after="0" w:line="257" w:lineRule="auto"/>
        <w:rPr>
          <w:sz w:val="20"/>
          <w:szCs w:val="20"/>
          <w:color w:val="auto"/>
        </w:rPr>
      </w:pPr>
      <w:r>
        <w:rPr>
          <w:rFonts w:ascii="Arial" w:cs="Arial" w:eastAsia="Arial" w:hAnsi="Arial"/>
          <w:sz w:val="18"/>
          <w:szCs w:val="18"/>
          <w:color w:val="auto"/>
        </w:rPr>
        <w:t>Our development efforts for our glaucoma program have focused on the use of our extended-delivery hydrogel in combination with travoprost, an FDA-approved prostaglandin analog designed to lower elevated IOP. Our product candidate OTX-TIC is a bioresorbable hydrogel implant incorporating travoprost that is designed to be administered by a physician as an intracameral injection into the anterior chamber of the eye with an initial target duration of drug release of four to six months.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In Vitro and Preclinical results</w:t>
      </w:r>
    </w:p>
    <w:p>
      <w:pPr>
        <w:spacing w:after="0" w:line="225" w:lineRule="exact"/>
        <w:rPr>
          <w:sz w:val="20"/>
          <w:szCs w:val="20"/>
          <w:color w:val="auto"/>
        </w:rPr>
      </w:pPr>
    </w:p>
    <w:p>
      <w:pPr>
        <w:ind w:left="60" w:right="219" w:firstLine="441"/>
        <w:spacing w:after="0" w:line="277" w:lineRule="auto"/>
        <w:rPr>
          <w:sz w:val="20"/>
          <w:szCs w:val="20"/>
          <w:color w:val="auto"/>
        </w:rPr>
      </w:pPr>
      <w:r>
        <w:rPr>
          <w:rFonts w:ascii="Arial" w:cs="Arial" w:eastAsia="Arial" w:hAnsi="Arial"/>
          <w:sz w:val="18"/>
          <w:szCs w:val="18"/>
          <w:color w:val="auto"/>
        </w:rPr>
        <w:t>Preclinical studies to date have demonstrated clinically meaningful IOP lowering and good pharmacokinetics in the aqueous humor.</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Phase 1 clinical development</w:t>
      </w:r>
    </w:p>
    <w:p>
      <w:pPr>
        <w:spacing w:after="0" w:line="225" w:lineRule="exact"/>
        <w:rPr>
          <w:sz w:val="20"/>
          <w:szCs w:val="20"/>
          <w:color w:val="auto"/>
        </w:rPr>
      </w:pPr>
    </w:p>
    <w:p>
      <w:pPr>
        <w:ind w:left="60" w:right="59" w:firstLine="441"/>
        <w:spacing w:after="0" w:line="268" w:lineRule="auto"/>
        <w:rPr>
          <w:sz w:val="20"/>
          <w:szCs w:val="20"/>
          <w:color w:val="auto"/>
        </w:rPr>
      </w:pPr>
      <w:r>
        <w:rPr>
          <w:rFonts w:ascii="Arial" w:cs="Arial" w:eastAsia="Arial" w:hAnsi="Arial"/>
          <w:sz w:val="17"/>
          <w:szCs w:val="17"/>
          <w:color w:val="auto"/>
        </w:rPr>
        <w:t>We are conducting a prospective, multi-center open-label, dose-escalation proof-of-concept Phase 1 clinical trial of OTX-TIC in the United States that we initiated in the second quarter of 2018 for the treatment of patients with moderate to severe glaucoma or ocular hypertension. The clinical trial is designed to evaluate the safety, biological activity, durability and tolerability of OTX-TIC compared to topical travoprost (daily eye drops) in patients with open-angle glaucoma or ocular hypertension. The clinical trial consists of four patient cohorts: cohort 1 is 5 subjects who are receiving a 15 µg dose, cohort 2 is 4 subjects who are receiving a 26 µg dose, cohort 3 is 5 subjects who are receiving a 15 µg dose with a fast-degrading implant, and cohort 4 is 5 subjects who are receiving a 5 µg dose with a fast-degrading implant. We presented initial results from the first cohort, comprised of five patients, in this clinical trial at the Association of Research and Vision of Ophthalmology (ARVO) meeting in April 2019 and the American Society of Cataract and Refractive Surgery annual meeting in May 2019. This data demonstrated that, with a single implant, subjects were able to achieve IOP lowering for up to thirteen months at a level at least as good as standard of care topical eye drop that was placed in each subject’s non-study eye. In addition, the hydrogel carrier, as designed, biodegraded in five to seven months. There were no clinically meaningful changes in corneal health as measured by endothelial cell evaluation and corneal pachymetry. Several subjects reported low-grade inflammation and peripheral anterior synechiae that we believe may be addressable with modifications to the implants.</w:t>
      </w:r>
    </w:p>
    <w:p>
      <w:pPr>
        <w:spacing w:after="0" w:line="182" w:lineRule="exact"/>
        <w:rPr>
          <w:sz w:val="20"/>
          <w:szCs w:val="20"/>
          <w:color w:val="auto"/>
        </w:rPr>
      </w:pPr>
    </w:p>
    <w:p>
      <w:pPr>
        <w:ind w:left="60" w:right="79" w:firstLine="441"/>
        <w:spacing w:after="0" w:line="271" w:lineRule="auto"/>
        <w:rPr>
          <w:sz w:val="20"/>
          <w:szCs w:val="20"/>
          <w:color w:val="auto"/>
        </w:rPr>
      </w:pPr>
      <w:r>
        <w:rPr>
          <w:rFonts w:ascii="Arial" w:cs="Arial" w:eastAsia="Arial" w:hAnsi="Arial"/>
          <w:sz w:val="17"/>
          <w:szCs w:val="17"/>
          <w:color w:val="auto"/>
        </w:rPr>
        <w:t>At the Glaucoma360 2021 Virtual Conference, we presented interim results, presented below, from all four patient cohorts in the Phase 1 clinical trial. We believe that OTX-TIC shows potential as a sustained-release therapy with a long duration of action. OTX-TIC has demonstrated a clinically meaningful mean change from baseline as measured by IOP at 8:00 am, 10:00 am and 4:00 pm comparable to topical travoprost therapy as early as two days following injection across all four cohorts. With regard to duration, three out of five subjects (60%) in cohort 1 and four out of four subjects (100%) in cohort 2 exhibited duration of IOP-lowering effect comparable to travoprost therapy at six months. Two out of five subjects (40%) in cohort 3 and one out of 2 subjects (50%) in cohort 4 assessed to date exhibited duration of IOP-lowering effect comparable to travoprost at six months.</w:t>
      </w:r>
    </w:p>
    <w:p>
      <w:pPr>
        <w:spacing w:after="0" w:line="178" w:lineRule="exact"/>
        <w:rPr>
          <w:sz w:val="20"/>
          <w:szCs w:val="20"/>
          <w:color w:val="auto"/>
        </w:rPr>
      </w:pPr>
    </w:p>
    <w:p>
      <w:pPr>
        <w:ind w:left="60" w:right="59" w:firstLine="441"/>
        <w:spacing w:after="0" w:line="273" w:lineRule="auto"/>
        <w:rPr>
          <w:sz w:val="20"/>
          <w:szCs w:val="20"/>
          <w:color w:val="auto"/>
        </w:rPr>
      </w:pPr>
      <w:r>
        <w:rPr>
          <w:rFonts w:ascii="Arial" w:cs="Arial" w:eastAsia="Arial" w:hAnsi="Arial"/>
          <w:sz w:val="17"/>
          <w:szCs w:val="17"/>
          <w:color w:val="auto"/>
        </w:rPr>
        <w:t>The OTX-TIC implant was observed to biodegrade in between five and seven months in cohorts 1 and 2. In cohorts 3 and 4, the fast-degrading implants biodegraded between three and five months. Within all four cohorts, implants were not observed to move when viewed with a slit lamp biomicroscope and were visible at all examinations in all patients using gonioscopy. Corneal health as measured by endothelial cell counts, pachymetry assessments, and slit lamp examinations indicated no clinically meaningful changes from baseline in any of the four cohorts. IOP elevation were observed in three subjects in cohort 3 at the approximate time of the implant resorption.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1125220</wp:posOffset>
            </wp:positionV>
            <wp:extent cx="5554980" cy="6849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54980" cy="68497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692150</wp:posOffset>
            </wp:positionV>
            <wp:extent cx="5349240" cy="2837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Planned Phase 2 Clinical Trial</w:t>
      </w:r>
    </w:p>
    <w:p>
      <w:pPr>
        <w:spacing w:after="0" w:line="225" w:lineRule="exact"/>
        <w:rPr>
          <w:sz w:val="20"/>
          <w:szCs w:val="20"/>
          <w:color w:val="auto"/>
        </w:rPr>
      </w:pPr>
    </w:p>
    <w:p>
      <w:pPr>
        <w:ind w:left="60" w:right="79" w:firstLine="441"/>
        <w:spacing w:after="0" w:line="271" w:lineRule="auto"/>
        <w:rPr>
          <w:sz w:val="20"/>
          <w:szCs w:val="20"/>
          <w:color w:val="auto"/>
        </w:rPr>
      </w:pPr>
      <w:r>
        <w:rPr>
          <w:rFonts w:ascii="Arial" w:cs="Arial" w:eastAsia="Arial" w:hAnsi="Arial"/>
          <w:sz w:val="17"/>
          <w:szCs w:val="17"/>
          <w:color w:val="auto"/>
        </w:rPr>
        <w:t>In mid-2021, we plan to initiate a Phase 2 clinical trial to evaluate formulations of OTX-TIC for the treatment of open-angle glaucoma or ocular hypertension in patients. Certain subjects in the Phase 2 clinical trial will receive the same formulation used in cohort 1 of the Phase 1 clinical trial, containing a 26 µg dose of drug and utilizing a standard implant, and others will receive the same formulation used in cohort 4 of the Phase 1 clinical trial, containing a 5 µg dose of drug and utilizing a fast-degrading implant. The Phase 2 clinical trial will be a randomized, double-masked, active-controlled study with a total of approximately 105 subjects between three arms of approximately 35 subjects each. The control arm will receive an injection of Durysta™. The non-study eye of each patient will receive topical prostaglandin daily. The trial will evaluate IOP changes from baseline among other endpoints.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Regulatory Pathway</w:t>
      </w:r>
    </w:p>
    <w:p>
      <w:pPr>
        <w:spacing w:after="0" w:line="225" w:lineRule="exact"/>
        <w:rPr>
          <w:sz w:val="20"/>
          <w:szCs w:val="20"/>
          <w:color w:val="auto"/>
        </w:rPr>
      </w:pPr>
    </w:p>
    <w:p>
      <w:pPr>
        <w:ind w:left="60" w:right="119" w:firstLine="441"/>
        <w:spacing w:after="0" w:line="301" w:lineRule="auto"/>
        <w:rPr>
          <w:sz w:val="20"/>
          <w:szCs w:val="20"/>
          <w:color w:val="auto"/>
        </w:rPr>
      </w:pPr>
      <w:r>
        <w:rPr>
          <w:rFonts w:ascii="Arial" w:cs="Arial" w:eastAsia="Arial" w:hAnsi="Arial"/>
          <w:sz w:val="16"/>
          <w:szCs w:val="16"/>
          <w:color w:val="auto"/>
        </w:rPr>
        <w:t>If our planned Phase 2 clinical trial is successful, we would then be required to successfully complete two well-controlled Phase 3 clinical trials conducted under an IND to obtain marketing approval from the FDA. If we were to obtain favorable results from these two pivotal clinical trials, we expect that we would submit an NDA to the FDA for marketing approval of OTX-TIC under Section 505(b)(2) of the FDCA. See “—Government Regulation—Section 505(b)(2) NDAs.”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Ocular Surface Disease Programs</w:t>
      </w:r>
    </w:p>
    <w:p>
      <w:pPr>
        <w:spacing w:after="0" w:line="225" w:lineRule="exact"/>
        <w:rPr>
          <w:sz w:val="20"/>
          <w:szCs w:val="20"/>
          <w:color w:val="auto"/>
        </w:rPr>
      </w:pPr>
    </w:p>
    <w:p>
      <w:pPr>
        <w:ind w:left="60" w:right="239" w:firstLine="441"/>
        <w:spacing w:after="0" w:line="257" w:lineRule="auto"/>
        <w:rPr>
          <w:sz w:val="20"/>
          <w:szCs w:val="20"/>
          <w:color w:val="auto"/>
        </w:rPr>
      </w:pPr>
      <w:r>
        <w:rPr>
          <w:rFonts w:ascii="Arial" w:cs="Arial" w:eastAsia="Arial" w:hAnsi="Arial"/>
          <w:sz w:val="18"/>
          <w:szCs w:val="18"/>
          <w:color w:val="auto"/>
        </w:rPr>
        <w:t>We are engaged in the development of formulations of our hydrogel administered via intracanalicular inserts to address large markets for diseases and conditions of the surface of the eye. Our initial development efforts are focused on the use of our extended-delivery hydrogel in combination with well-known and well-understood corticosteroids and cyclosporine for the treatment of dry eye disease, allergic conjunctivitis and inflammation and pain following ophthalmic surgery.</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Dry Eye Disease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OTX-CSI (cyclosporine intracanalicular insert)</w:t>
      </w:r>
    </w:p>
    <w:p>
      <w:pPr>
        <w:spacing w:after="0" w:line="225" w:lineRule="exact"/>
        <w:rPr>
          <w:sz w:val="20"/>
          <w:szCs w:val="20"/>
          <w:color w:val="auto"/>
        </w:rPr>
      </w:pPr>
    </w:p>
    <w:p>
      <w:pPr>
        <w:ind w:left="60" w:right="479" w:firstLine="486"/>
        <w:spacing w:after="0" w:line="311" w:lineRule="auto"/>
        <w:rPr>
          <w:sz w:val="20"/>
          <w:szCs w:val="20"/>
          <w:color w:val="auto"/>
        </w:rPr>
      </w:pPr>
      <w:r>
        <w:rPr>
          <w:rFonts w:ascii="Arial" w:cs="Arial" w:eastAsia="Arial" w:hAnsi="Arial"/>
          <w:sz w:val="16"/>
          <w:szCs w:val="16"/>
          <w:color w:val="auto"/>
        </w:rPr>
        <w:t>OTX-CSI incorporates the FDA-approved immunomodulator cyclosporine as a preservative-free active pharmaceutical ingredient into a hydrogel, drug-eluting, intracanalicular insert. The product candidate is designed for patients suffering from moderate to severe dry eye and to be administered by a physician as a bioresorbable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intracanalicular insert. OTX-CSI is designed to release cyclosporine to the ocular surface for approximately three to four months to increase tear production for the chronic treatment of dry eye disease.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Phase 1 clinical development</w:t>
      </w:r>
    </w:p>
    <w:p>
      <w:pPr>
        <w:spacing w:after="0" w:line="225" w:lineRule="exact"/>
        <w:rPr>
          <w:sz w:val="20"/>
          <w:szCs w:val="20"/>
          <w:color w:val="auto"/>
        </w:rPr>
      </w:pPr>
    </w:p>
    <w:p>
      <w:pPr>
        <w:ind w:left="60" w:right="99" w:firstLine="486"/>
        <w:spacing w:after="0" w:line="257" w:lineRule="auto"/>
        <w:rPr>
          <w:sz w:val="20"/>
          <w:szCs w:val="20"/>
          <w:color w:val="auto"/>
        </w:rPr>
      </w:pPr>
      <w:r>
        <w:rPr>
          <w:rFonts w:ascii="Arial" w:cs="Arial" w:eastAsia="Arial" w:hAnsi="Arial"/>
          <w:sz w:val="18"/>
          <w:szCs w:val="18"/>
          <w:color w:val="auto"/>
        </w:rPr>
        <w:t>We filed an IND for OTX-CSI in the United States in December 2019 and initiated a Phase 1 clinical trial in the first quarter of 2020. The Phase 1 clinical trial was a U.S.-based, open-label, single-center trial that included five subjects (ten eyes) who were followed for approximately four months. The study was designed to evaluate the safety, tolerability and durability of OTX-CSI and assess the biological activity by measuring signs and symptoms of dry eye disease over this time period.</w:t>
      </w:r>
    </w:p>
    <w:p>
      <w:pPr>
        <w:spacing w:after="0" w:line="188" w:lineRule="exact"/>
        <w:rPr>
          <w:sz w:val="20"/>
          <w:szCs w:val="20"/>
          <w:color w:val="auto"/>
        </w:rPr>
      </w:pPr>
    </w:p>
    <w:p>
      <w:pPr>
        <w:ind w:left="60" w:right="259" w:firstLine="486"/>
        <w:spacing w:after="0" w:line="259" w:lineRule="auto"/>
        <w:rPr>
          <w:sz w:val="20"/>
          <w:szCs w:val="20"/>
          <w:color w:val="auto"/>
        </w:rPr>
      </w:pPr>
      <w:r>
        <w:rPr>
          <w:rFonts w:ascii="Arial" w:cs="Arial" w:eastAsia="Arial" w:hAnsi="Arial"/>
          <w:sz w:val="18"/>
          <w:szCs w:val="18"/>
          <w:color w:val="auto"/>
        </w:rPr>
        <w:t>On October 8, 2020, we announced topline data from our Phase 1 clinical trial evaluating OTX-CSI in the chronic treatment of dry eye disease. All subjects completed the 16-week study period with no drop-outs. There were no serious adverse effects reported. The inserts were observed to be well-tolerated, and there were no adverse events of stinging, irritation, blurred vision or tearing reported or observed.</w:t>
      </w:r>
    </w:p>
    <w:p>
      <w:pPr>
        <w:spacing w:after="0" w:line="187" w:lineRule="exact"/>
        <w:rPr>
          <w:sz w:val="20"/>
          <w:szCs w:val="20"/>
          <w:color w:val="auto"/>
        </w:rPr>
      </w:pPr>
    </w:p>
    <w:p>
      <w:pPr>
        <w:ind w:left="60" w:right="79" w:firstLine="486"/>
        <w:spacing w:after="0" w:line="270" w:lineRule="auto"/>
        <w:rPr>
          <w:sz w:val="20"/>
          <w:szCs w:val="20"/>
          <w:color w:val="auto"/>
        </w:rPr>
      </w:pPr>
      <w:r>
        <w:rPr>
          <w:rFonts w:ascii="Arial" w:cs="Arial" w:eastAsia="Arial" w:hAnsi="Arial"/>
          <w:sz w:val="17"/>
          <w:szCs w:val="17"/>
          <w:color w:val="auto"/>
        </w:rPr>
        <w:t>Tear production as measured by the Schirmer’s test improved from mean values of 4.2 mm at baseline to 8.2 mm at Week 12. One of five subjects (20%) had a greater than 10 mm increase from baseline in Schirmer’s score at Week 12. Subjects saw an improvement in signs of dry eye disease as measured by corneal total fluorescein staining (a mean value of 6.7 at baseline, improved to a mean value of 2.7 at Week 12, on a scale of 0 to 15). Further, subjects saw an improvement in symptoms of dry eye disease as measured by the VAS eye dryness severity score (a mean value of 51 at baseline, improved to a mean value of 33 at Week 12, on a scale of 0 to 100) and the VAS dry eye frequency score (a mean value of 51 at baseline, improved to a mean value of 31 at Week 12, on a scale of 0 to 100). The onset of action of OTX-CSI was seen as early as two weeks for both signs and symptoms of dry eye disease and was observed to continue over the sixteen-week study period.</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Phase 2 clinical development</w:t>
      </w:r>
    </w:p>
    <w:p>
      <w:pPr>
        <w:spacing w:after="0" w:line="225" w:lineRule="exact"/>
        <w:rPr>
          <w:sz w:val="20"/>
          <w:szCs w:val="20"/>
          <w:color w:val="auto"/>
        </w:rPr>
      </w:pPr>
    </w:p>
    <w:p>
      <w:pPr>
        <w:ind w:left="60" w:right="119" w:firstLine="486"/>
        <w:spacing w:after="0" w:line="269" w:lineRule="auto"/>
        <w:rPr>
          <w:sz w:val="20"/>
          <w:szCs w:val="20"/>
          <w:color w:val="auto"/>
        </w:rPr>
      </w:pPr>
      <w:r>
        <w:rPr>
          <w:rFonts w:ascii="Arial" w:cs="Arial" w:eastAsia="Arial" w:hAnsi="Arial"/>
          <w:sz w:val="17"/>
          <w:szCs w:val="17"/>
          <w:color w:val="auto"/>
        </w:rPr>
        <w:t>In September 2020, we dosed the first patients in a Phase 2 clinical trial designed to assess the safety, tolerability and durability and to evaluate the efficacy of OTX-CSI in the chronic treatment of dry eye disease. The Phase 2 clinical trial is a U.S.-based, randomized, double-masked, multi-center, vehicle-controlled trial evaluating two different formulations of OTX-CSI compared with a hydrogel vehicle insert in approximately 140 subjects who are to be followed for a period of 16 weeks. Included patients must have been diagnosed with dry eye disease in both eyes for a period of greater than six months and have a visual analog scale, or VAS, eye dryness severity score of greater than 30. The primary endpoints are incidence of treatment-emergent adverse events and the absolute value and change from baseline at week 12 in tear production as measured by the Schirmer’s test. Secondary endpoints include signs of dry eye disease as measured by corneal fluorescein staining and symptoms of dry eye disease as measured by the VAS eye dryness severity score and the VAS dry eye frequency score.</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Regulatory Pathway</w:t>
      </w:r>
    </w:p>
    <w:p>
      <w:pPr>
        <w:spacing w:after="0" w:line="225" w:lineRule="exact"/>
        <w:rPr>
          <w:sz w:val="20"/>
          <w:szCs w:val="20"/>
          <w:color w:val="auto"/>
        </w:rPr>
      </w:pPr>
    </w:p>
    <w:p>
      <w:pPr>
        <w:ind w:left="60" w:right="199" w:firstLine="486"/>
        <w:spacing w:after="0" w:line="257" w:lineRule="auto"/>
        <w:rPr>
          <w:sz w:val="20"/>
          <w:szCs w:val="20"/>
          <w:color w:val="auto"/>
        </w:rPr>
      </w:pPr>
      <w:r>
        <w:rPr>
          <w:rFonts w:ascii="Arial" w:cs="Arial" w:eastAsia="Arial" w:hAnsi="Arial"/>
          <w:sz w:val="18"/>
          <w:szCs w:val="18"/>
          <w:color w:val="auto"/>
        </w:rPr>
        <w:t>We anticipate receiving topline data from our ongoing Phase 2 clinical trial in the fourth quarter of 2021. If our planned Phase 2 clinical trial is successful, we would then be required to successfully complete two well-controlled Phase 3 clinical trials conducted under an IND to obtain marketing approval from the FDA. If our development efforts are successful, we expect that we would submit an NDA under Section 505(b)(2) of the FDCA. See “—Government Regulation—Section 505(b)(2) NDAs” for additional information.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OTX-DED (dexamethasone intracanalicular insert)</w:t>
      </w:r>
    </w:p>
    <w:p>
      <w:pPr>
        <w:spacing w:after="0" w:line="225" w:lineRule="exact"/>
        <w:rPr>
          <w:sz w:val="20"/>
          <w:szCs w:val="20"/>
          <w:color w:val="auto"/>
        </w:rPr>
      </w:pPr>
    </w:p>
    <w:p>
      <w:pPr>
        <w:ind w:left="60" w:right="119" w:firstLine="486"/>
        <w:spacing w:after="0" w:line="291" w:lineRule="auto"/>
        <w:rPr>
          <w:sz w:val="20"/>
          <w:szCs w:val="20"/>
          <w:color w:val="auto"/>
        </w:rPr>
      </w:pPr>
      <w:r>
        <w:rPr>
          <w:rFonts w:ascii="Arial" w:cs="Arial" w:eastAsia="Arial" w:hAnsi="Arial"/>
          <w:sz w:val="16"/>
          <w:szCs w:val="16"/>
          <w:color w:val="auto"/>
        </w:rPr>
        <w:t>One of the causes of dry eye disease is inflammation. Topical anti-inflammatory drugs are used as one of several therapies to treat dry eye disease and are administered by eye drops. As the understanding of dry eye disease, specifically the inflammatory components of dry eye disease, has evolved, the use of corticosteroids has become a common to offer short-term relief of signs and symptoms of the disease. Physicians typically prescribe a topical corticosteroid for a period of two to four weeks, tapered over the course of delivery as the inflammation and symptoms subside. However, safety limitations associated with the use of corticosteroids for dry eye disease have limited widespread adoption. We believe that OTX-DED has potential as a short-term treatment of the signs and symptoms of dry eye disease caused by inflammation.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59" w:firstLine="486"/>
        <w:spacing w:after="0" w:line="259" w:lineRule="auto"/>
        <w:rPr>
          <w:sz w:val="20"/>
          <w:szCs w:val="20"/>
          <w:color w:val="auto"/>
        </w:rPr>
      </w:pPr>
      <w:r>
        <w:rPr>
          <w:rFonts w:ascii="Arial" w:cs="Arial" w:eastAsia="Arial" w:hAnsi="Arial"/>
          <w:sz w:val="18"/>
          <w:szCs w:val="18"/>
          <w:color w:val="auto"/>
        </w:rPr>
        <w:t>OTX-DED incorporates the FDA-approved corticosteroid dexamethasone, its preservative-free active pharmaceutical ingredient, into a hydrogel, drug-eluting intracanalicular insert. OTX-DED incorporates the same active drug as DEXTENZA, but it includes a lower dose of the drug, delivers it via a smaller insert, and is designed to release it over a period of two to three weeks.</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Phase 2 clinical trial</w:t>
      </w:r>
    </w:p>
    <w:p>
      <w:pPr>
        <w:spacing w:after="0" w:line="225" w:lineRule="exact"/>
        <w:rPr>
          <w:sz w:val="20"/>
          <w:szCs w:val="20"/>
          <w:color w:val="auto"/>
        </w:rPr>
      </w:pPr>
    </w:p>
    <w:p>
      <w:pPr>
        <w:ind w:left="60" w:right="79" w:firstLine="486"/>
        <w:spacing w:after="0" w:line="269" w:lineRule="auto"/>
        <w:rPr>
          <w:sz w:val="20"/>
          <w:szCs w:val="20"/>
          <w:color w:val="auto"/>
        </w:rPr>
      </w:pPr>
      <w:r>
        <w:rPr>
          <w:rFonts w:ascii="Arial" w:cs="Arial" w:eastAsia="Arial" w:hAnsi="Arial"/>
          <w:sz w:val="17"/>
          <w:szCs w:val="17"/>
          <w:color w:val="auto"/>
        </w:rPr>
        <w:t>We filed an IND in December 2020 for OTX-DED. In February 2021, we initiated a U.S.-based, randomized, double-masked, vehicle-controlled, multi-center Phase 2 clinical trial evaluating two different-strength formulations of OTX-DED (0.2 mg and 0.3 mg of dexamethasone) versus hydrogel implant in a total of approximately 150 subjects with dry eye disease, approximately 50 patients per arm. The subjects will be followed for approximately two months after randomization. This trial is designed to assess the safety and efficacy of these two formulations of OTX-DED for the short-term treatment of signs and symptoms of dry eye disease. Included patients will be required to have diagnosed dry eye disease in both eyes for at least six months, a VAS eye dryness severity score of at least 30 and bulbar conjunctival hyperemia grade of at least 2 (Cornea Contact Lens Research Unit scale). The primary endpoint is mean change in bulbar conjunctival hyperemia from baseline measured at 15 days post treatment by central reading center photographic assessment. Secondary endpoints include eye dryness symptoms using VAS, total corneal fluorescein staining using the National Eye Institute scale and adverse events, both ocular and non-ocular.</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Regulatory Pathway</w:t>
      </w:r>
    </w:p>
    <w:p>
      <w:pPr>
        <w:spacing w:after="0" w:line="225" w:lineRule="exact"/>
        <w:rPr>
          <w:sz w:val="20"/>
          <w:szCs w:val="20"/>
          <w:color w:val="auto"/>
        </w:rPr>
      </w:pPr>
    </w:p>
    <w:p>
      <w:pPr>
        <w:ind w:left="60" w:right="99" w:firstLine="486"/>
        <w:spacing w:after="0" w:line="257" w:lineRule="auto"/>
        <w:rPr>
          <w:sz w:val="20"/>
          <w:szCs w:val="20"/>
          <w:color w:val="auto"/>
        </w:rPr>
      </w:pPr>
      <w:r>
        <w:rPr>
          <w:rFonts w:ascii="Arial" w:cs="Arial" w:eastAsia="Arial" w:hAnsi="Arial"/>
          <w:sz w:val="18"/>
          <w:szCs w:val="18"/>
          <w:color w:val="auto"/>
        </w:rPr>
        <w:t>We anticipate receiving topline data from our ongoing Phase 2 clinical trial in the first half of 2022. If our planned Phase 2 clinical trial is successful, we would then be required to successfully complete two well-controlled Phase 3 clinical trials conducted under an IND to obtain marketing approval from the FDA. If our development efforts are successful, we expect that we would submit an NDA under Section 505(b)(2) of the FDCA. See “—Government Regulation—Section 505(b)(2) NDAs” for additional information.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Allergic Conjunctivitis</w:t>
      </w:r>
    </w:p>
    <w:p>
      <w:pPr>
        <w:spacing w:after="0" w:line="225" w:lineRule="exact"/>
        <w:rPr>
          <w:sz w:val="20"/>
          <w:szCs w:val="20"/>
          <w:color w:val="auto"/>
        </w:rPr>
      </w:pPr>
    </w:p>
    <w:p>
      <w:pPr>
        <w:ind w:left="60" w:right="179" w:firstLine="441"/>
        <w:spacing w:after="0" w:line="286" w:lineRule="auto"/>
        <w:rPr>
          <w:sz w:val="20"/>
          <w:szCs w:val="20"/>
          <w:color w:val="auto"/>
        </w:rPr>
      </w:pPr>
      <w:r>
        <w:rPr>
          <w:rFonts w:ascii="Arial" w:cs="Arial" w:eastAsia="Arial" w:hAnsi="Arial"/>
          <w:sz w:val="17"/>
          <w:szCs w:val="17"/>
          <w:color w:val="auto"/>
        </w:rPr>
        <w:t>We believe that allergic conjunctivitis represents a discrete potential market opportunity for preservative-free DEXTENZA because it is a physician-administered, hands-free, therapy administered in the office setting and designed to release the FDA-approved corticosteroid dexamethasone to the ocular surface for up to 30 days.</w:t>
      </w:r>
    </w:p>
    <w:p>
      <w:pPr>
        <w:spacing w:after="0" w:line="165" w:lineRule="exact"/>
        <w:rPr>
          <w:sz w:val="20"/>
          <w:szCs w:val="20"/>
          <w:color w:val="auto"/>
        </w:rPr>
      </w:pPr>
    </w:p>
    <w:p>
      <w:pPr>
        <w:ind w:left="60" w:right="79" w:firstLine="441"/>
        <w:spacing w:after="0" w:line="290" w:lineRule="auto"/>
        <w:rPr>
          <w:sz w:val="20"/>
          <w:szCs w:val="20"/>
          <w:color w:val="auto"/>
        </w:rPr>
      </w:pPr>
      <w:r>
        <w:rPr>
          <w:rFonts w:ascii="Arial" w:cs="Arial" w:eastAsia="Arial" w:hAnsi="Arial"/>
          <w:sz w:val="16"/>
          <w:szCs w:val="16"/>
          <w:color w:val="auto"/>
        </w:rPr>
        <w:t>Although dexamethasone is clinically effective in the treatment of late-phase inflammatory allergic reactions, the safety limitations associated with eye drop administration, including the potential to generate spikes in IOP due to the high levels of drug due to potential patient abuse to treat this symptomatic condition, have limited its widespread adoption. These elevations in IOP can lead to drug-induced glaucoma, although the incidence is low. Further, use of oral anti-histamine medications as well as anti-histamine eye drops for allergic conjunctivitis may dry out the eye and exacerbate the discomfort to some patients. Based on our clinical trial results to date, we believe that using DEXTENZA for allergic conjunctivitis could create a low, tapered, consistent dose of dexamethasone, potentially minimizing or eliminating side effects associated with the eye drop formulation, while retaining the drug’s anti-inflammatory effects.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Completed Phase 2 Clinical Trial</w:t>
      </w:r>
    </w:p>
    <w:p>
      <w:pPr>
        <w:spacing w:after="0" w:line="225" w:lineRule="exact"/>
        <w:rPr>
          <w:sz w:val="20"/>
          <w:szCs w:val="20"/>
          <w:color w:val="auto"/>
        </w:rPr>
      </w:pPr>
    </w:p>
    <w:p>
      <w:pPr>
        <w:ind w:left="60" w:right="159" w:firstLine="441"/>
        <w:spacing w:after="0" w:line="254" w:lineRule="auto"/>
        <w:rPr>
          <w:sz w:val="20"/>
          <w:szCs w:val="20"/>
          <w:color w:val="auto"/>
        </w:rPr>
      </w:pPr>
      <w:r>
        <w:rPr>
          <w:rFonts w:ascii="Arial" w:cs="Arial" w:eastAsia="Arial" w:hAnsi="Arial"/>
          <w:sz w:val="17"/>
          <w:szCs w:val="17"/>
          <w:color w:val="auto"/>
        </w:rPr>
        <w:t>In November 2014, we completed a prospective, randomized, parallel-arm, vehicle-controlled, multicenter, double-masked Phase 2 clinical trial evaluating the safety and efficacy of DEXTENZA for the treatment of allergic conjunctivitis. We conducted this trial using a modified version of a controlled exposure model commonly used to assess anti-allergy medications, Ora, Inc.’s modified Conjunctival Allergen Challenge (Ora-Cac</w:t>
      </w:r>
      <w:r>
        <w:rPr>
          <w:rFonts w:ascii="Arial" w:cs="Arial" w:eastAsia="Arial" w:hAnsi="Arial"/>
          <w:sz w:val="25"/>
          <w:szCs w:val="25"/>
          <w:color w:val="auto"/>
          <w:vertAlign w:val="superscript"/>
        </w:rPr>
        <w:t>®</w:t>
      </w:r>
      <w:r>
        <w:rPr>
          <w:rFonts w:ascii="Arial" w:cs="Arial" w:eastAsia="Arial" w:hAnsi="Arial"/>
          <w:sz w:val="17"/>
          <w:szCs w:val="17"/>
          <w:color w:val="auto"/>
        </w:rPr>
        <w:t>), which we refer to as the CAC Model. The modified CAC achieves a very high transient dose exposure by placing allergen directly into the space between the eyelid and the surface of the eye of the patient. We initially exposed patients to specified allergens to determine which allergens resulted in an allergic response for the patients. If patient was responsive to a particular allergen, we continued to expose the patient to that same allergen prior to each evaluation.</w:t>
      </w:r>
    </w:p>
    <w:p>
      <w:pPr>
        <w:spacing w:after="0" w:line="192" w:lineRule="exact"/>
        <w:rPr>
          <w:sz w:val="20"/>
          <w:szCs w:val="20"/>
          <w:color w:val="auto"/>
        </w:rPr>
      </w:pPr>
    </w:p>
    <w:p>
      <w:pPr>
        <w:ind w:left="60" w:right="419" w:firstLine="441"/>
        <w:spacing w:after="0" w:line="342" w:lineRule="auto"/>
        <w:rPr>
          <w:sz w:val="20"/>
          <w:szCs w:val="20"/>
          <w:color w:val="auto"/>
        </w:rPr>
      </w:pPr>
      <w:r>
        <w:rPr>
          <w:rFonts w:ascii="Arial" w:cs="Arial" w:eastAsia="Arial" w:hAnsi="Arial"/>
          <w:sz w:val="16"/>
          <w:szCs w:val="16"/>
          <w:color w:val="auto"/>
        </w:rPr>
        <w:t>We enrolled 68 patients at two sites in the United States. We randomized patients in a 1:1 ratio to receive either DEXTENZA or a placebo vehicle control intracanalicular insert without active drug. We evaluated patients using three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allergen challenges in series for each of the two efficacy measures at 14, 28 and 42 days following placement of the intracanalicular insert.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primary efficacy measures for this trial were ocular itching graded by the patient and conjunctival redness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graded by the trial investigator, in each case based on a five point scale from zero to four. The primary efficacy measures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were differences between treatment groups of at least 0.5 units on the five point scale on day 14 for all three time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points measured in a day for both ocular itching and conjunctival redness and differences between treatment groups of at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least 1.0 unit for the majority of the three time points measured on 14 days post insertion for both ocular itching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conjunctival redness. The secondary endpoints for this trial were similar to the primary efficacy endpoints, except that each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variable was assessed at 28 days and 42 days following placement of the intracanalicular insert.</w:t>
      </w:r>
    </w:p>
    <w:p>
      <w:pPr>
        <w:spacing w:after="0" w:line="211" w:lineRule="exact"/>
        <w:rPr>
          <w:sz w:val="20"/>
          <w:szCs w:val="20"/>
          <w:color w:val="auto"/>
        </w:rPr>
      </w:pPr>
    </w:p>
    <w:p>
      <w:pPr>
        <w:jc w:val="both"/>
        <w:ind w:left="60" w:right="379" w:firstLine="441"/>
        <w:spacing w:after="0" w:line="286" w:lineRule="auto"/>
        <w:rPr>
          <w:sz w:val="20"/>
          <w:szCs w:val="20"/>
          <w:color w:val="auto"/>
        </w:rPr>
      </w:pPr>
      <w:r>
        <w:rPr>
          <w:rFonts w:ascii="Arial" w:cs="Arial" w:eastAsia="Arial" w:hAnsi="Arial"/>
          <w:sz w:val="17"/>
          <w:szCs w:val="17"/>
          <w:color w:val="auto"/>
        </w:rPr>
        <w:t>We enrolled patients in this trial who were at least 18 years of age with a positive history of ocular allergies and a positive skin test reaction to a perennial allergen and a seasonal allergen. We excluded patients from this trial if, among other reasons, they had an active ocular infection or itching or conjunctival redness at screening.</w:t>
      </w:r>
    </w:p>
    <w:p>
      <w:pPr>
        <w:spacing w:after="0" w:line="165" w:lineRule="exact"/>
        <w:rPr>
          <w:sz w:val="20"/>
          <w:szCs w:val="20"/>
          <w:color w:val="auto"/>
        </w:rPr>
      </w:pPr>
    </w:p>
    <w:p>
      <w:pPr>
        <w:ind w:left="60" w:right="199" w:firstLine="441"/>
        <w:spacing w:after="0" w:line="277" w:lineRule="auto"/>
        <w:rPr>
          <w:sz w:val="20"/>
          <w:szCs w:val="20"/>
          <w:color w:val="auto"/>
        </w:rPr>
      </w:pPr>
      <w:r>
        <w:rPr>
          <w:rFonts w:ascii="Arial" w:cs="Arial" w:eastAsia="Arial" w:hAnsi="Arial"/>
          <w:sz w:val="18"/>
          <w:szCs w:val="18"/>
          <w:color w:val="auto"/>
        </w:rPr>
        <w:t>We evaluated safety in all patients at each study visit with an assessment of general eye conditions, including visual acuity and IOP, along with any adverse events.</w:t>
      </w:r>
    </w:p>
    <w:p>
      <w:pPr>
        <w:spacing w:after="0" w:line="166" w:lineRule="exact"/>
        <w:rPr>
          <w:sz w:val="20"/>
          <w:szCs w:val="20"/>
          <w:color w:val="auto"/>
        </w:rPr>
      </w:pPr>
    </w:p>
    <w:p>
      <w:pPr>
        <w:ind w:left="60" w:right="59" w:firstLine="441"/>
        <w:spacing w:after="0" w:line="288" w:lineRule="auto"/>
        <w:rPr>
          <w:sz w:val="20"/>
          <w:szCs w:val="20"/>
          <w:color w:val="auto"/>
        </w:rPr>
      </w:pPr>
      <w:r>
        <w:rPr>
          <w:rFonts w:ascii="Arial" w:cs="Arial" w:eastAsia="Arial" w:hAnsi="Arial"/>
          <w:sz w:val="16"/>
          <w:szCs w:val="16"/>
          <w:b w:val="1"/>
          <w:bCs w:val="1"/>
          <w:color w:val="auto"/>
        </w:rPr>
        <w:t xml:space="preserve">Efficacy: </w:t>
      </w:r>
      <w:r>
        <w:rPr>
          <w:rFonts w:ascii="Arial" w:cs="Arial" w:eastAsia="Arial" w:hAnsi="Arial"/>
          <w:sz w:val="16"/>
          <w:szCs w:val="16"/>
          <w:color w:val="auto"/>
        </w:rPr>
        <w:t>In this trial, there was a statistically significant mean difference (p&lt;0.05) between the DEXTENZA</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group and the vehicle group for both ocular itching and conjunctival redness at all three time points measured on 14, 28, and 42 days following placement of the intracanalicular insert. DEXTENZA met one of the two primary efficacy endpoints. The DEXTENZA treatment group achieved a mean difference compared to the vehicle control group of more than 0.5 units on a five point scale at 14 days post insertion for all three time points measured in a day for both ocular itching and conjunctival redness. The DEXTENZA group did not achieve a mean difference compared to the vehicle control group of 1.0 unit for the majority of the three time points measured on 14 days post insertion for either ocular itching or conjunctival redness. However, in a pre-specified analysis group of a second site in the clinical trial, in which DEXTENZA intracanalicular inserts were placed 48 to 72 hours following exposure to the allergen, rather than on the same day, we observed a mean difference in ocular itching between the DEXTENZA group and the vehicle control group of approximately 1.0 unit for the majority of three time points measured on 14 days.</w:t>
      </w:r>
    </w:p>
    <w:p>
      <w:pPr>
        <w:spacing w:after="0" w:line="167" w:lineRule="exact"/>
        <w:rPr>
          <w:sz w:val="20"/>
          <w:szCs w:val="20"/>
          <w:color w:val="auto"/>
        </w:rPr>
      </w:pPr>
    </w:p>
    <w:p>
      <w:pPr>
        <w:ind w:left="60" w:right="499" w:firstLine="441"/>
        <w:spacing w:after="0" w:line="308" w:lineRule="auto"/>
        <w:rPr>
          <w:sz w:val="20"/>
          <w:szCs w:val="20"/>
          <w:color w:val="auto"/>
        </w:rPr>
      </w:pPr>
      <w:r>
        <w:rPr>
          <w:rFonts w:ascii="Arial" w:cs="Arial" w:eastAsia="Arial" w:hAnsi="Arial"/>
          <w:sz w:val="17"/>
          <w:szCs w:val="17"/>
          <w:color w:val="auto"/>
        </w:rPr>
        <w:t>The results of this trial for each of the three time points on day 14 following the insertion of the intracanalicular insert for the DEXTENZA group and the vehicle control group are shown in the table below:</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Time</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Difference</w:t>
            </w:r>
          </w:p>
        </w:tc>
        <w:tc>
          <w:tcPr>
            <w:tcW w:w="0" w:type="dxa"/>
            <w:vAlign w:val="bottom"/>
          </w:tcPr>
          <w:p>
            <w:pPr>
              <w:spacing w:after="0"/>
              <w:rPr>
                <w:sz w:val="1"/>
                <w:szCs w:val="1"/>
                <w:color w:val="auto"/>
              </w:rPr>
            </w:pPr>
          </w:p>
        </w:tc>
      </w:tr>
      <w:tr>
        <w:trPr>
          <w:trHeight w:val="201"/>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Parameter</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Point</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DEXTENZA</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Vehicle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(P-value)</w:t>
            </w:r>
          </w:p>
        </w:tc>
        <w:tc>
          <w:tcPr>
            <w:tcW w:w="0" w:type="dxa"/>
            <w:vAlign w:val="bottom"/>
          </w:tcPr>
          <w:p>
            <w:pPr>
              <w:spacing w:after="0"/>
              <w:rPr>
                <w:sz w:val="1"/>
                <w:szCs w:val="1"/>
                <w:color w:val="auto"/>
              </w:rPr>
            </w:pP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Ocular Itching</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min</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1.80 (1.068)</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2.58 (0.823)</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-0.78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(0.0031)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 min</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1.72 (0.998)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2.70 (0.865)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-0.98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(0.0002)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 min</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1.65 (0.989)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2.53 (0.880)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-0.88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(0.0007)</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Conjunctival Redness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 min</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 (0.753)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 (0.727)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-0.51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(0.0100)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15 min</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1.53 (0.753)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2.23 (0.708)</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-0.70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(0.0006)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 min</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1.54 (0.739)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2.21 (0.696)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-0.67</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(0.0008)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79" w:firstLine="441"/>
        <w:spacing w:after="0" w:line="291" w:lineRule="auto"/>
        <w:rPr>
          <w:sz w:val="20"/>
          <w:szCs w:val="20"/>
          <w:color w:val="auto"/>
        </w:rPr>
      </w:pPr>
      <w:r>
        <w:rPr>
          <w:rFonts w:ascii="Arial" w:cs="Arial" w:eastAsia="Arial" w:hAnsi="Arial"/>
          <w:sz w:val="16"/>
          <w:szCs w:val="16"/>
          <w:b w:val="1"/>
          <w:bCs w:val="1"/>
          <w:color w:val="auto"/>
        </w:rPr>
        <w:t xml:space="preserve">Safety: </w:t>
      </w:r>
      <w:r>
        <w:rPr>
          <w:rFonts w:ascii="Arial" w:cs="Arial" w:eastAsia="Arial" w:hAnsi="Arial"/>
          <w:sz w:val="16"/>
          <w:szCs w:val="16"/>
          <w:color w:val="auto"/>
        </w:rPr>
        <w:t>In this trial, there was one serious adverse event in the treatment arm, which was depression. This event was</w:t>
      </w:r>
      <w:r>
        <w:rPr>
          <w:rFonts w:ascii="Arial" w:cs="Arial" w:eastAsia="Arial" w:hAnsi="Arial"/>
          <w:sz w:val="16"/>
          <w:szCs w:val="16"/>
          <w:b w:val="1"/>
          <w:bCs w:val="1"/>
          <w:color w:val="auto"/>
        </w:rPr>
        <w:t xml:space="preserve"> </w:t>
      </w:r>
      <w:r>
        <w:rPr>
          <w:rFonts w:ascii="Arial" w:cs="Arial" w:eastAsia="Arial" w:hAnsi="Arial"/>
          <w:sz w:val="16"/>
          <w:szCs w:val="16"/>
          <w:color w:val="auto"/>
        </w:rPr>
        <w:t>not suspected to be related to treatment. The serious adverse event was not ocular in nature. In addition, there were a variety of adverse events in both the DEXTENZA group and the vehicle control group, with nine ocular adverse events and two non-ocular related adverse events in the DEXTENZA group and eight ocular adverse events and two non-ocular adverse events in the vehicle control group. In the DEXTENZA group, the only adverse events that occurred more than once were reduction in visual acuity and increased IOP, both of which occurred twice. The most common adverse events in the vehicle control group were erythema of the eyelid, discharge from the eye and an increase in lacrimation, all of which occurred twice. All adverse events were transient in nature and completely resolved by the end of the trial.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Phase 3 Clinical Program</w:t>
      </w:r>
    </w:p>
    <w:p>
      <w:pPr>
        <w:spacing w:after="0" w:line="225" w:lineRule="exact"/>
        <w:rPr>
          <w:sz w:val="20"/>
          <w:szCs w:val="20"/>
          <w:color w:val="auto"/>
        </w:rPr>
      </w:pPr>
    </w:p>
    <w:p>
      <w:pPr>
        <w:ind w:left="60" w:right="119" w:firstLine="441"/>
        <w:spacing w:after="0" w:line="275" w:lineRule="auto"/>
        <w:rPr>
          <w:sz w:val="20"/>
          <w:szCs w:val="20"/>
          <w:color w:val="auto"/>
        </w:rPr>
      </w:pPr>
      <w:r>
        <w:rPr>
          <w:rFonts w:ascii="Arial" w:cs="Arial" w:eastAsia="Arial" w:hAnsi="Arial"/>
          <w:sz w:val="17"/>
          <w:szCs w:val="17"/>
          <w:color w:val="auto"/>
        </w:rPr>
        <w:t>We met with the FDA in December 2014 to review the Phase 2 clinical trial results of DEXTENZA for the treatment of allergic conjunctivitis and to discuss our planned Phase 3 clinical development program. Based on these discussions, we have completed two Phase 3 clinical trials and initiated a third Phase 3 clinical trial in August 2019. Our first Phase 3 clinical trial assessed both ocular itching and conjunctival redness associated with allergic conjunctivitis. Our second and third Phase 3 clinical trials have focused on the ocular itching indication.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First Phase 3 Clinical Trial</w:t>
      </w:r>
    </w:p>
    <w:p>
      <w:pPr>
        <w:spacing w:after="0" w:line="225" w:lineRule="exact"/>
        <w:rPr>
          <w:sz w:val="20"/>
          <w:szCs w:val="20"/>
          <w:color w:val="auto"/>
        </w:rPr>
      </w:pPr>
    </w:p>
    <w:p>
      <w:pPr>
        <w:ind w:left="60" w:right="79" w:firstLine="441"/>
        <w:spacing w:after="0" w:line="290" w:lineRule="auto"/>
        <w:rPr>
          <w:sz w:val="20"/>
          <w:szCs w:val="20"/>
          <w:color w:val="auto"/>
        </w:rPr>
      </w:pPr>
      <w:r>
        <w:rPr>
          <w:rFonts w:ascii="Arial" w:cs="Arial" w:eastAsia="Arial" w:hAnsi="Arial"/>
          <w:sz w:val="16"/>
          <w:szCs w:val="16"/>
          <w:color w:val="auto"/>
        </w:rPr>
        <w:t>We initiated our first planned Phase 3 clinical trials in June 2015, and we reported topline efficacy results in October 2015. This first Phase 3 clinical trial was a prospective, randomized, parallel-arm, vehicle-controlled, multicenter, double-masked trial. A total of 73 patients were enrolled in this trial and were randomized in a 1:1 ratio to receive either DEXTENZA or a placebo vehicle control intracanalicular insert without active drug. This trial was conducted using the CAC Model. We evaluated patients using three allergen challenges in series for each of two efficacy measures at days 7, 14 and 28 following placement of intracanalicular insert as described below. In this Phase 3 clinical trial, we placed the intracanalicular inserts 48 to 72 hours after exposure to the allergen. In our completed Phase 2 clinical trial, we obtained better efficacy results with this design protocol as noted in the description of the Phase 2 efficacy results above.</w:t>
      </w:r>
    </w:p>
    <w:p>
      <w:pPr>
        <w:spacing w:after="0" w:line="165" w:lineRule="exact"/>
        <w:rPr>
          <w:sz w:val="20"/>
          <w:szCs w:val="20"/>
          <w:color w:val="auto"/>
        </w:rPr>
      </w:pPr>
    </w:p>
    <w:p>
      <w:pPr>
        <w:ind w:left="60" w:right="79" w:firstLine="441"/>
        <w:spacing w:after="0" w:line="287" w:lineRule="auto"/>
        <w:rPr>
          <w:sz w:val="20"/>
          <w:szCs w:val="20"/>
          <w:color w:val="auto"/>
        </w:rPr>
      </w:pPr>
      <w:r>
        <w:rPr>
          <w:rFonts w:ascii="Arial" w:cs="Arial" w:eastAsia="Arial" w:hAnsi="Arial"/>
          <w:sz w:val="16"/>
          <w:szCs w:val="16"/>
          <w:color w:val="auto"/>
        </w:rPr>
        <w:t>The primary efficacy measures for this trial were ocular itching graded by the patient and conjunctival redness graded by the trial investigator, in each case based on a five point scale from zero to four. The primary efficacy endpoints were the differences between the treatment group and the vehicle group of at least 0.5 units on the five point scale measured on 7 days post-insertion of the intracanalicular insert for all three time points measured for both ocular itching and conjunctival redness and differences of at least 1.0 unit for the majority of the three time points measured on 7 days post-insertion of the intracanalicular insert for both ocular itching and conjunctival redness. The secondary endpoints were similar to the primary efficacy endpoints except that each variable was assessed at day 14 and day 28 following insertion of the intracanalicular insert. The primary efficacy measure of conjunctival redness is typically included in Phase 3 trials for allergic conjunctivitis but has not been required for FDA approval of drugs for allergic conjunctivitis. Most commercially available prescription medications for the treatment of allergic conjunctivitis have an ocular itching indication only. As described below, ocular itching was the only primary efficacy endpoint in the second Phase 3 trial of DEXTENZA for the treatment of allergic conjunctivitis, with conjunctival redness being moved to a secondary efficacy endpoint.</w:t>
      </w:r>
    </w:p>
    <w:p>
      <w:pPr>
        <w:spacing w:after="0" w:line="168" w:lineRule="exact"/>
        <w:rPr>
          <w:sz w:val="20"/>
          <w:szCs w:val="20"/>
          <w:color w:val="auto"/>
        </w:rPr>
      </w:pPr>
    </w:p>
    <w:p>
      <w:pPr>
        <w:jc w:val="both"/>
        <w:ind w:left="60" w:right="379" w:firstLine="441"/>
        <w:spacing w:after="0" w:line="286" w:lineRule="auto"/>
        <w:rPr>
          <w:sz w:val="20"/>
          <w:szCs w:val="20"/>
          <w:color w:val="auto"/>
        </w:rPr>
      </w:pPr>
      <w:r>
        <w:rPr>
          <w:rFonts w:ascii="Arial" w:cs="Arial" w:eastAsia="Arial" w:hAnsi="Arial"/>
          <w:sz w:val="17"/>
          <w:szCs w:val="17"/>
          <w:color w:val="auto"/>
        </w:rPr>
        <w:t>We enrolled patients in this trial who were at least 18 years of age with a positive history of ocular allergies and a positive skin test reaction to a perennial allergen and a seasonal allergen. We excluded patients from this trial if, among other reasons, they had an active ocular infection or itching or conjunctival redness at screening.</w:t>
      </w:r>
    </w:p>
    <w:p>
      <w:pPr>
        <w:spacing w:after="0" w:line="165" w:lineRule="exact"/>
        <w:rPr>
          <w:sz w:val="20"/>
          <w:szCs w:val="20"/>
          <w:color w:val="auto"/>
        </w:rPr>
      </w:pPr>
    </w:p>
    <w:p>
      <w:pPr>
        <w:ind w:left="60" w:right="199" w:firstLine="441"/>
        <w:spacing w:after="0" w:line="277" w:lineRule="auto"/>
        <w:rPr>
          <w:sz w:val="20"/>
          <w:szCs w:val="20"/>
          <w:color w:val="auto"/>
        </w:rPr>
      </w:pPr>
      <w:r>
        <w:rPr>
          <w:rFonts w:ascii="Arial" w:cs="Arial" w:eastAsia="Arial" w:hAnsi="Arial"/>
          <w:sz w:val="18"/>
          <w:szCs w:val="18"/>
          <w:color w:val="auto"/>
        </w:rPr>
        <w:t>We evaluated safety in all patients at each study visit with an assessment of general eye conditions, including visual acuity and IOP, along with any adverse events.</w:t>
      </w:r>
    </w:p>
    <w:p>
      <w:pPr>
        <w:spacing w:after="0" w:line="166" w:lineRule="exact"/>
        <w:rPr>
          <w:sz w:val="20"/>
          <w:szCs w:val="20"/>
          <w:color w:val="auto"/>
        </w:rPr>
      </w:pPr>
    </w:p>
    <w:p>
      <w:pPr>
        <w:ind w:left="60" w:right="99" w:firstLine="441"/>
        <w:spacing w:after="0" w:line="271" w:lineRule="auto"/>
        <w:rPr>
          <w:sz w:val="20"/>
          <w:szCs w:val="20"/>
          <w:color w:val="auto"/>
        </w:rPr>
      </w:pPr>
      <w:r>
        <w:rPr>
          <w:rFonts w:ascii="Arial" w:cs="Arial" w:eastAsia="Arial" w:hAnsi="Arial"/>
          <w:sz w:val="17"/>
          <w:szCs w:val="17"/>
          <w:b w:val="1"/>
          <w:bCs w:val="1"/>
          <w:color w:val="auto"/>
        </w:rPr>
        <w:t xml:space="preserve">Efficacy: </w:t>
      </w:r>
      <w:r>
        <w:rPr>
          <w:rFonts w:ascii="Arial" w:cs="Arial" w:eastAsia="Arial" w:hAnsi="Arial"/>
          <w:sz w:val="17"/>
          <w:szCs w:val="17"/>
          <w:color w:val="auto"/>
        </w:rPr>
        <w:t>In this trial, there was a statistically significant mean difference (p&lt;0.0001) between the DEXTENZA</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group and the placebo vehicle group for ocular itching at all three time points measured on 7 days post-placement of the intracanalicular insert. DEXTENZA also met the primary efficacy endpoint for ocular itching. The DEXTENZA treatment group achieved a mean difference compared to the vehicle group of greater than 0.5 units on a five point scale on 7 days post-insertion at each time point and greater than 1.0 unit at a majority of the time points on 7 days post-insertion for ocular itching. There was a statistically significant mean difference (p=0.01 or less) between the DEXTENZA treatment group and the placebo vehicle group for conjunctival redness at all three time points measured on 7 days post-placement of the intracanalicular insert. However, the DEXTENZA group did not achieve the pre-specified primary efficacy endpoints on 7 days post-insertion with respect to conjunctival redness.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441"/>
        <w:spacing w:after="0" w:line="277" w:lineRule="auto"/>
        <w:rPr>
          <w:sz w:val="20"/>
          <w:szCs w:val="20"/>
          <w:color w:val="auto"/>
        </w:rPr>
      </w:pPr>
      <w:r>
        <w:rPr>
          <w:rFonts w:ascii="Arial" w:cs="Arial" w:eastAsia="Arial" w:hAnsi="Arial"/>
          <w:sz w:val="18"/>
          <w:szCs w:val="18"/>
          <w:color w:val="auto"/>
        </w:rPr>
        <w:t>The results of this trial for each of the three time points on day 7 following placement of the intracanalicular insert for the DEXTENZA group and the vehicle control group are shown in the table below:</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Time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Difference</w:t>
            </w:r>
          </w:p>
        </w:tc>
        <w:tc>
          <w:tcPr>
            <w:tcW w:w="0" w:type="dxa"/>
            <w:vAlign w:val="bottom"/>
          </w:tcPr>
          <w:p>
            <w:pPr>
              <w:spacing w:after="0"/>
              <w:rPr>
                <w:sz w:val="1"/>
                <w:szCs w:val="1"/>
                <w:color w:val="auto"/>
              </w:rPr>
            </w:pPr>
          </w:p>
        </w:tc>
      </w:tr>
      <w:tr>
        <w:trPr>
          <w:trHeight w:val="201"/>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Parameter</w:t>
            </w: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Point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DEXTENZA</w:t>
            </w:r>
          </w:p>
        </w:tc>
        <w:tc>
          <w:tcPr>
            <w:tcW w:w="18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Vehicle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(P-value)</w:t>
            </w: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Ocular Itching</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min</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1.68 (1.032)</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2.66 (0.861)</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-1.02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0"/>
              </w:rPr>
              <w:t>(&lt;0.0001)</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min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 (1.04)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 (0.69)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-0.87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0"/>
              </w:rPr>
              <w:t>(&lt;0.0001)</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min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 (0.938)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 (0.679)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-1.04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(0.0007)</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Conjunctival Redness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min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 (0.641)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 (0.764)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-0.26</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(0.1082)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 min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 (0.698)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 (0.786)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-0.32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(0.0419)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 min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 (0.710)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 (0.766)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-0.29</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(0.0667)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99" w:firstLine="441"/>
        <w:spacing w:after="0" w:line="255" w:lineRule="auto"/>
        <w:rPr>
          <w:sz w:val="20"/>
          <w:szCs w:val="20"/>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There were no serious adverse events reported in this trial. There were a variety of adverse events in both</w:t>
      </w:r>
      <w:r>
        <w:rPr>
          <w:rFonts w:ascii="Arial" w:cs="Arial" w:eastAsia="Arial" w:hAnsi="Arial"/>
          <w:sz w:val="18"/>
          <w:szCs w:val="18"/>
          <w:b w:val="1"/>
          <w:bCs w:val="1"/>
          <w:color w:val="auto"/>
        </w:rPr>
        <w:t xml:space="preserve"> </w:t>
      </w:r>
      <w:r>
        <w:rPr>
          <w:rFonts w:ascii="Arial" w:cs="Arial" w:eastAsia="Arial" w:hAnsi="Arial"/>
          <w:sz w:val="18"/>
          <w:szCs w:val="18"/>
          <w:color w:val="auto"/>
        </w:rPr>
        <w:t>the DEXTENZA group and the vehicle control group, with three patients in the DEXTENZA treatment group with a total of three ocular adverse events and one non-ocular adverse event and four patients in the vehicle control group with a total of six ocular adverse events and one non-ocular adverse events. The most common ocular adverse event was increased lacrimation, which was experienced by one patient in the DEXTENZA group and two patients in the vehicle control group. Other treatment-related ocular adverse events included increased IOP in the DEXTENZA group, and blepharospasm in the vehicle control group.</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Second Phase 3 Clinical Trial</w:t>
      </w:r>
    </w:p>
    <w:p>
      <w:pPr>
        <w:spacing w:after="0" w:line="225" w:lineRule="exact"/>
        <w:rPr>
          <w:sz w:val="20"/>
          <w:szCs w:val="20"/>
          <w:color w:val="auto"/>
        </w:rPr>
      </w:pPr>
    </w:p>
    <w:p>
      <w:pPr>
        <w:ind w:left="60" w:right="59" w:firstLine="441"/>
        <w:spacing w:after="0" w:line="291" w:lineRule="auto"/>
        <w:rPr>
          <w:sz w:val="20"/>
          <w:szCs w:val="20"/>
          <w:color w:val="auto"/>
        </w:rPr>
      </w:pPr>
      <w:r>
        <w:rPr>
          <w:rFonts w:ascii="Arial" w:cs="Arial" w:eastAsia="Arial" w:hAnsi="Arial"/>
          <w:sz w:val="16"/>
          <w:szCs w:val="16"/>
          <w:color w:val="auto"/>
        </w:rPr>
        <w:t>We initiated our second Phase 3 clinical trial of DEXTENZA for the treatment of allergic conjunctivitis in November 2015, and we reported topline efficacy results in June 2016. This second Phase 3 clinical trial was a prospective, randomized, parallel-arm, vehicle-controlled, multicenter, double-masked trial. A total of 72 patients were enrolled in this trial and randomized in a 1:1 ratio to receive either DEXTENZA or a placebo vehicle control intracanalicular insert without active drug. This trial was conducted using the CAC Model. Patients were evaluated using three allergen challenges in series for each of two efficacy measures at days 7, 14 and 28 following insertion of the intracanalicular insert. In this Phase 3 clinical trial, we placed the intracanalicular inserts 48 to 72 hours after exposure to the allergen.</w:t>
      </w:r>
    </w:p>
    <w:p>
      <w:pPr>
        <w:spacing w:after="0" w:line="166" w:lineRule="exact"/>
        <w:rPr>
          <w:sz w:val="20"/>
          <w:szCs w:val="20"/>
          <w:color w:val="auto"/>
        </w:rPr>
      </w:pPr>
    </w:p>
    <w:p>
      <w:pPr>
        <w:ind w:left="60" w:right="119" w:firstLine="441"/>
        <w:spacing w:after="0" w:line="269" w:lineRule="auto"/>
        <w:rPr>
          <w:sz w:val="20"/>
          <w:szCs w:val="20"/>
          <w:color w:val="auto"/>
        </w:rPr>
      </w:pPr>
      <w:r>
        <w:rPr>
          <w:rFonts w:ascii="Arial" w:cs="Arial" w:eastAsia="Arial" w:hAnsi="Arial"/>
          <w:sz w:val="17"/>
          <w:szCs w:val="17"/>
          <w:color w:val="auto"/>
        </w:rPr>
        <w:t>The single primary efficacy measure for this trial was ocular itching graded by the patient based on a five point scale from zero to four. The primary efficacy endpoints were the differences between the treatment group and the vehicle group of at least 0.5 units on the five point scale 7 days post-insertion of the intracanalicular insert for all three time points measured for ocular itching and differences of at least 1.0 unit for the majority of the three time points measured 7 days post-insertion of the intracanalicular insert for ocular itching. The secondary endpoints for ocular itching were similar to the primary efficacy endpoints except that each variable was assessed at day 14 and day 28 following placement of the intracanalicular insert. The secondary endpoints for conjunctival redness were the differences between the treatment group and the vehicle group of at least 0.5 units on the five point scale 7 days post-insertion of the intracanalicular insert for all three time points measured and differences of at least 1.0 unit for the majority of the three time points measured 7 days post-insertion of the intracanalicular insert.</w:t>
      </w:r>
    </w:p>
    <w:p>
      <w:pPr>
        <w:spacing w:after="0" w:line="185" w:lineRule="exact"/>
        <w:rPr>
          <w:sz w:val="20"/>
          <w:szCs w:val="20"/>
          <w:color w:val="auto"/>
        </w:rPr>
      </w:pPr>
    </w:p>
    <w:p>
      <w:pPr>
        <w:ind w:left="60" w:right="399" w:firstLine="441"/>
        <w:spacing w:after="0" w:line="286" w:lineRule="auto"/>
        <w:rPr>
          <w:sz w:val="20"/>
          <w:szCs w:val="20"/>
          <w:color w:val="auto"/>
        </w:rPr>
      </w:pPr>
      <w:r>
        <w:rPr>
          <w:rFonts w:ascii="Arial" w:cs="Arial" w:eastAsia="Arial" w:hAnsi="Arial"/>
          <w:sz w:val="17"/>
          <w:szCs w:val="17"/>
          <w:color w:val="auto"/>
        </w:rPr>
        <w:t>We enrolled patients in this trial who are at least 18 years of age with a positive history of ocular allergies and a positive skin test reaction to a perennial allergen and a seasonal allergen. We excluded patients from this trial if, among other reasons, they had an active ocular infection or itching or conjunctival redness at screening.</w:t>
      </w:r>
    </w:p>
    <w:p>
      <w:pPr>
        <w:spacing w:after="0" w:line="165" w:lineRule="exact"/>
        <w:rPr>
          <w:sz w:val="20"/>
          <w:szCs w:val="20"/>
          <w:color w:val="auto"/>
        </w:rPr>
      </w:pPr>
    </w:p>
    <w:p>
      <w:pPr>
        <w:ind w:left="60" w:right="199" w:firstLine="441"/>
        <w:spacing w:after="0" w:line="277" w:lineRule="auto"/>
        <w:rPr>
          <w:sz w:val="20"/>
          <w:szCs w:val="20"/>
          <w:color w:val="auto"/>
        </w:rPr>
      </w:pPr>
      <w:r>
        <w:rPr>
          <w:rFonts w:ascii="Arial" w:cs="Arial" w:eastAsia="Arial" w:hAnsi="Arial"/>
          <w:sz w:val="18"/>
          <w:szCs w:val="18"/>
          <w:color w:val="auto"/>
        </w:rPr>
        <w:t>We evaluated safety in all patients at each study visit with an assessment of general eye conditions, including visual acuity and IOP, along with any adverse events.</w:t>
      </w:r>
    </w:p>
    <w:p>
      <w:pPr>
        <w:spacing w:after="0" w:line="166" w:lineRule="exact"/>
        <w:rPr>
          <w:sz w:val="20"/>
          <w:szCs w:val="20"/>
          <w:color w:val="auto"/>
        </w:rPr>
      </w:pPr>
    </w:p>
    <w:p>
      <w:pPr>
        <w:ind w:left="60" w:right="399" w:firstLine="441"/>
        <w:spacing w:after="0" w:line="347" w:lineRule="auto"/>
        <w:rPr>
          <w:sz w:val="20"/>
          <w:szCs w:val="20"/>
          <w:color w:val="auto"/>
        </w:rPr>
      </w:pPr>
      <w:r>
        <w:rPr>
          <w:rFonts w:ascii="Arial" w:cs="Arial" w:eastAsia="Arial" w:hAnsi="Arial"/>
          <w:sz w:val="16"/>
          <w:szCs w:val="16"/>
          <w:b w:val="1"/>
          <w:bCs w:val="1"/>
          <w:color w:val="auto"/>
        </w:rPr>
        <w:t xml:space="preserve">Efficacy: </w:t>
      </w:r>
      <w:r>
        <w:rPr>
          <w:rFonts w:ascii="Arial" w:cs="Arial" w:eastAsia="Arial" w:hAnsi="Arial"/>
          <w:sz w:val="16"/>
          <w:szCs w:val="16"/>
          <w:color w:val="auto"/>
        </w:rPr>
        <w:t>In this trial, DEXTENZA did not meet the primary efficacy endpoint of ocular itching at the three time</w:t>
      </w:r>
      <w:r>
        <w:rPr>
          <w:rFonts w:ascii="Arial" w:cs="Arial" w:eastAsia="Arial" w:hAnsi="Arial"/>
          <w:sz w:val="16"/>
          <w:szCs w:val="16"/>
          <w:b w:val="1"/>
          <w:bCs w:val="1"/>
          <w:color w:val="auto"/>
        </w:rPr>
        <w:t xml:space="preserve"> </w:t>
      </w:r>
      <w:r>
        <w:rPr>
          <w:rFonts w:ascii="Arial" w:cs="Arial" w:eastAsia="Arial" w:hAnsi="Arial"/>
          <w:sz w:val="16"/>
          <w:szCs w:val="16"/>
          <w:color w:val="auto"/>
        </w:rPr>
        <w:t>points measured on day 7 post-placement of the intracanalicular insert. The mean difference in ocular itching in the</w:t>
      </w:r>
    </w:p>
    <w:p>
      <w:pPr>
        <w:sectPr>
          <w:pgSz w:w="11900" w:h="16838" w:orient="portrait"/>
          <w:cols w:equalWidth="0" w:num="1">
            <w:col w:w="9019"/>
          </w:cols>
          <w:pgMar w:left="1440" w:top="517" w:right="1440" w:bottom="1440" w:gutter="0" w:footer="0" w:header="0"/>
        </w:sect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DEXTENZA treatment group compared to the placebo group measured 7 days following insertion of the inserts, at 3, 5, and 7 minutes was -0.18, -0.29, and -0.29 units, respectively, on a five point scale and did not achieve statistical significance. In addition, the trial did not achieve the requirement of at least a 0.5 unit difference at all three time points 7 days following insertion of the inserts and at least a 1.0 unit difference at a majority of the three time points between the treatment group and the placebo group 7 days following insertion of the inserts.</w:t>
      </w:r>
    </w:p>
    <w:p>
      <w:pPr>
        <w:spacing w:after="0" w:line="176" w:lineRule="exact"/>
        <w:rPr>
          <w:sz w:val="20"/>
          <w:szCs w:val="20"/>
          <w:color w:val="auto"/>
        </w:rPr>
      </w:pPr>
    </w:p>
    <w:p>
      <w:pPr>
        <w:ind w:left="60" w:right="359" w:firstLine="441"/>
        <w:spacing w:after="0" w:line="263" w:lineRule="auto"/>
        <w:rPr>
          <w:sz w:val="20"/>
          <w:szCs w:val="20"/>
          <w:color w:val="auto"/>
        </w:rPr>
      </w:pPr>
      <w:r>
        <w:rPr>
          <w:rFonts w:ascii="Arial" w:cs="Arial" w:eastAsia="Arial" w:hAnsi="Arial"/>
          <w:sz w:val="18"/>
          <w:szCs w:val="18"/>
          <w:color w:val="auto"/>
        </w:rPr>
        <w:t>The trial also assessed conjunctival redness as a secondary endpoint. The differences in the mean scores in conjunctival redness between the DEXTENZA treatment group and the placebo group 7 days following insertion of the inserts at 7, 15 and 20 minutes were -0.35, -0.39 and -0.42, respectively.</w:t>
      </w:r>
    </w:p>
    <w:p>
      <w:pPr>
        <w:spacing w:after="0" w:line="184" w:lineRule="exact"/>
        <w:rPr>
          <w:sz w:val="20"/>
          <w:szCs w:val="20"/>
          <w:color w:val="auto"/>
        </w:rPr>
      </w:pPr>
    </w:p>
    <w:p>
      <w:pPr>
        <w:ind w:left="60" w:right="299" w:firstLine="441"/>
        <w:spacing w:after="0" w:line="261" w:lineRule="auto"/>
        <w:rPr>
          <w:sz w:val="20"/>
          <w:szCs w:val="20"/>
          <w:color w:val="auto"/>
        </w:rPr>
      </w:pPr>
      <w:r>
        <w:rPr>
          <w:rFonts w:ascii="Arial" w:cs="Arial" w:eastAsia="Arial" w:hAnsi="Arial"/>
          <w:sz w:val="18"/>
          <w:szCs w:val="18"/>
          <w:color w:val="auto"/>
        </w:rPr>
        <w:t>The results of this trial for each of the three time points on day 7 following placement of the intracanalicular insert for the DEXTENZA group and the vehicle control group are shown in the table below:</w:t>
      </w:r>
    </w:p>
    <w:tbl>
      <w:tblPr>
        <w:tblLayout w:type="fixed"/>
        <w:tblInd w:w="6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Time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Difference*</w:t>
            </w:r>
          </w:p>
        </w:tc>
        <w:tc>
          <w:tcPr>
            <w:tcW w:w="0" w:type="dxa"/>
            <w:vAlign w:val="bottom"/>
          </w:tcPr>
          <w:p>
            <w:pPr>
              <w:spacing w:after="0"/>
              <w:rPr>
                <w:sz w:val="1"/>
                <w:szCs w:val="1"/>
                <w:color w:val="auto"/>
              </w:rPr>
            </w:pPr>
          </w:p>
        </w:tc>
      </w:tr>
      <w:tr>
        <w:trPr>
          <w:trHeight w:val="20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Parameter</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7"/>
              </w:rPr>
              <w:t>Point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DEXTENZA</w:t>
            </w:r>
          </w:p>
        </w:tc>
        <w:tc>
          <w:tcPr>
            <w:tcW w:w="200" w:type="dxa"/>
            <w:vAlign w:val="bottom"/>
          </w:tcPr>
          <w:p>
            <w:pPr>
              <w:spacing w:after="0"/>
              <w:rPr>
                <w:sz w:val="17"/>
                <w:szCs w:val="17"/>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Vehicle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(P-value)</w:t>
            </w:r>
          </w:p>
        </w:tc>
        <w:tc>
          <w:tcPr>
            <w:tcW w:w="0" w:type="dxa"/>
            <w:vAlign w:val="bottom"/>
          </w:tcPr>
          <w:p>
            <w:pPr>
              <w:spacing w:after="0"/>
              <w:rPr>
                <w:sz w:val="1"/>
                <w:szCs w:val="1"/>
                <w:color w:val="auto"/>
              </w:rPr>
            </w:pPr>
          </w:p>
        </w:tc>
      </w:tr>
      <w:tr>
        <w:trPr>
          <w:trHeight w:val="209"/>
        </w:trPr>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Ocular Itching</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 min</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2.04 (1.088)</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2.31 (1.115)</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-0.18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96"/>
              <w:spacing w:after="0"/>
              <w:rPr>
                <w:sz w:val="20"/>
                <w:szCs w:val="20"/>
                <w:color w:val="auto"/>
              </w:rPr>
            </w:pPr>
            <w:r>
              <w:rPr>
                <w:rFonts w:ascii="Arial" w:cs="Arial" w:eastAsia="Arial" w:hAnsi="Arial"/>
                <w:sz w:val="18"/>
                <w:szCs w:val="18"/>
                <w:b w:val="1"/>
                <w:bCs w:val="1"/>
                <w:color w:val="auto"/>
              </w:rPr>
              <w:t>(0.44)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 min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 (1.1)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 (1.039)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-0.29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56"/>
              <w:spacing w:after="0"/>
              <w:rPr>
                <w:sz w:val="20"/>
                <w:szCs w:val="20"/>
                <w:color w:val="auto"/>
              </w:rPr>
            </w:pPr>
            <w:r>
              <w:rPr>
                <w:rFonts w:ascii="Arial" w:cs="Arial" w:eastAsia="Arial" w:hAnsi="Arial"/>
                <w:sz w:val="18"/>
                <w:szCs w:val="18"/>
                <w:b w:val="1"/>
                <w:bCs w:val="1"/>
                <w:color w:val="auto"/>
              </w:rPr>
              <w:t>(0.223)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 min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 (1.131)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 (1.129)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-0.29</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2"/>
              </w:rPr>
              <w:t>(0.2611)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19" w:firstLine="441"/>
        <w:spacing w:after="0" w:line="289" w:lineRule="auto"/>
        <w:rPr>
          <w:sz w:val="20"/>
          <w:szCs w:val="20"/>
          <w:color w:val="auto"/>
        </w:rPr>
      </w:pPr>
      <w:r>
        <w:rPr>
          <w:rFonts w:ascii="Arial" w:cs="Arial" w:eastAsia="Arial" w:hAnsi="Arial"/>
          <w:sz w:val="16"/>
          <w:szCs w:val="16"/>
          <w:b w:val="1"/>
          <w:bCs w:val="1"/>
          <w:color w:val="auto"/>
        </w:rPr>
        <w:t xml:space="preserve">Safety: </w:t>
      </w:r>
      <w:r>
        <w:rPr>
          <w:rFonts w:ascii="Arial" w:cs="Arial" w:eastAsia="Arial" w:hAnsi="Arial"/>
          <w:sz w:val="16"/>
          <w:szCs w:val="16"/>
          <w:color w:val="auto"/>
        </w:rPr>
        <w:t>There were no serious adverse events reported in this trial. There were a variety of adverse events in both</w:t>
      </w:r>
      <w:r>
        <w:rPr>
          <w:rFonts w:ascii="Arial" w:cs="Arial" w:eastAsia="Arial" w:hAnsi="Arial"/>
          <w:sz w:val="16"/>
          <w:szCs w:val="16"/>
          <w:b w:val="1"/>
          <w:bCs w:val="1"/>
          <w:color w:val="auto"/>
        </w:rPr>
        <w:t xml:space="preserve"> </w:t>
      </w:r>
      <w:r>
        <w:rPr>
          <w:rFonts w:ascii="Arial" w:cs="Arial" w:eastAsia="Arial" w:hAnsi="Arial"/>
          <w:sz w:val="16"/>
          <w:szCs w:val="16"/>
          <w:color w:val="auto"/>
        </w:rPr>
        <w:t>the DEXTENZA group and the vehicle control group, with six patients in the DEXTENZA treatment group with a total of six ocular and one non-ocular adverse events and 11 patients in the vehicle control group with a total of nine ocular and eight non-ocular adverse events. The lower rate of ocular adverse events in the DEXTENZA group could potentially be due to the presence of an anti-inflammatory active pharmaceutical ingredient. Ocular adverse events reported more than one patient in either treatment group included increased IOP, which was experienced by two patients in the DEXTENZA group, as well as dacryostenosis acquired and dacryocanaliculitis, each experienced by two patients in the vehicle control group. Both cases of IOP increased were considered treatment related, as were both cases of dacryocanaliculitis and a single case of dacryostenosis. All other ocular adverse events were reported by single patients in either the DEXTENZA or vehicle control group, with most in the PV group considered treatment related.</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Third Phase 3 Clinical Trial</w:t>
      </w:r>
    </w:p>
    <w:p>
      <w:pPr>
        <w:spacing w:after="0" w:line="225" w:lineRule="exact"/>
        <w:rPr>
          <w:sz w:val="20"/>
          <w:szCs w:val="20"/>
          <w:color w:val="auto"/>
        </w:rPr>
      </w:pPr>
    </w:p>
    <w:p>
      <w:pPr>
        <w:ind w:left="60" w:right="79" w:firstLine="441"/>
        <w:spacing w:after="0" w:line="291" w:lineRule="auto"/>
        <w:rPr>
          <w:sz w:val="20"/>
          <w:szCs w:val="20"/>
          <w:color w:val="auto"/>
        </w:rPr>
      </w:pPr>
      <w:r>
        <w:rPr>
          <w:rFonts w:ascii="Arial" w:cs="Arial" w:eastAsia="Arial" w:hAnsi="Arial"/>
          <w:sz w:val="16"/>
          <w:szCs w:val="16"/>
          <w:color w:val="auto"/>
        </w:rPr>
        <w:t>In the third quarter of 2019, we began dosing patients in a 96-subject, pivotal Phase 3 clinical trial evaluating DEXTENZA for the treatment of ocular itching associated with allergic conjunctivitis. This Phase 3 clinical trial was a U.S.-based, multi-center, 1:1 randomized, double-masked, placebo-controlled trial designed to evaluate the safety and efficacy of DEXTENZA versus a punctum plug using the CAC Model. The trial was designed to assess the effect of DEXTENZA compared with a placebo on allergic reactions using a series of successive allergen challenges over a 30-day period. The primary efficacy endpoint for this trial was ocular itching (subject-reported 5-point scale (0 to 4)) on day 8 at 3 minutes, 5 minutes and 7 minutes post-challenge and included subjects with seasonal and perennial allergens.</w:t>
      </w:r>
    </w:p>
    <w:p>
      <w:pPr>
        <w:spacing w:after="0" w:line="162" w:lineRule="exact"/>
        <w:rPr>
          <w:sz w:val="20"/>
          <w:szCs w:val="20"/>
          <w:color w:val="auto"/>
        </w:rPr>
      </w:pPr>
    </w:p>
    <w:p>
      <w:pPr>
        <w:ind w:left="60" w:right="79" w:firstLine="441"/>
        <w:spacing w:after="0" w:line="294" w:lineRule="auto"/>
        <w:rPr>
          <w:sz w:val="20"/>
          <w:szCs w:val="20"/>
          <w:color w:val="auto"/>
        </w:rPr>
      </w:pPr>
      <w:r>
        <w:rPr>
          <w:rFonts w:ascii="Arial" w:cs="Arial" w:eastAsia="Arial" w:hAnsi="Arial"/>
          <w:sz w:val="16"/>
          <w:szCs w:val="16"/>
          <w:b w:val="1"/>
          <w:bCs w:val="1"/>
          <w:color w:val="auto"/>
        </w:rPr>
        <w:t xml:space="preserve">Efficacy: </w:t>
      </w:r>
      <w:r>
        <w:rPr>
          <w:rFonts w:ascii="Arial" w:cs="Arial" w:eastAsia="Arial" w:hAnsi="Arial"/>
          <w:sz w:val="16"/>
          <w:szCs w:val="16"/>
          <w:color w:val="auto"/>
        </w:rPr>
        <w:t>DEXTENZA-treated subjects demonstrated a statistically significant (p-value &lt; 0.0001) difference in mean</w:t>
      </w:r>
      <w:r>
        <w:rPr>
          <w:rFonts w:ascii="Arial" w:cs="Arial" w:eastAsia="Arial" w:hAnsi="Arial"/>
          <w:sz w:val="16"/>
          <w:szCs w:val="16"/>
          <w:b w:val="1"/>
          <w:bCs w:val="1"/>
          <w:color w:val="auto"/>
        </w:rPr>
        <w:t xml:space="preserve"> </w:t>
      </w:r>
      <w:r>
        <w:rPr>
          <w:rFonts w:ascii="Arial" w:cs="Arial" w:eastAsia="Arial" w:hAnsi="Arial"/>
          <w:sz w:val="16"/>
          <w:szCs w:val="16"/>
          <w:color w:val="auto"/>
        </w:rPr>
        <w:t>ocular itching scores, compared to vehicle-treated subjects, at all three pre-specified time points (see the figure below). An assessment of the secondary endpoint of ocular itching at all other visits (day 7, day 8 (morning), day 8 (afternoon at 10 minutes following exposure), day 14, and day 15 (morning and afternoon)) also showed that DEXTENZA-treated subjects reported lower itching scores than vehicle-treated subjects at 3 minutes, 5 minutes, 7 minutes and 10 minutes post-exposure to the allergen challenge (p-value &lt;0.05 for all 21 time points except day 7 at 3 minutes).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Primary Efficacy Endpoint Ocular Mean Itching Scores at Day 8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134620</wp:posOffset>
            </wp:positionV>
            <wp:extent cx="5349240" cy="2888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924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*Statistically significant; P≤0.0001; Least Squared Means; Population: ITT = MCMC; Bars represent Standard Error</w:t>
      </w:r>
    </w:p>
    <w:p>
      <w:pPr>
        <w:spacing w:after="0" w:line="379" w:lineRule="exact"/>
        <w:rPr>
          <w:sz w:val="20"/>
          <w:szCs w:val="20"/>
          <w:color w:val="auto"/>
        </w:rPr>
      </w:pPr>
    </w:p>
    <w:p>
      <w:pPr>
        <w:ind w:left="60" w:right="79" w:firstLine="441"/>
        <w:spacing w:after="0" w:line="261" w:lineRule="auto"/>
        <w:rPr>
          <w:sz w:val="20"/>
          <w:szCs w:val="20"/>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In the trial, DEXTENZA was generally observed to have a favorable safety profile and be well-tolerated. No</w:t>
      </w:r>
      <w:r>
        <w:rPr>
          <w:rFonts w:ascii="Arial" w:cs="Arial" w:eastAsia="Arial" w:hAnsi="Arial"/>
          <w:sz w:val="18"/>
          <w:szCs w:val="18"/>
          <w:b w:val="1"/>
          <w:bCs w:val="1"/>
          <w:color w:val="auto"/>
        </w:rPr>
        <w:t xml:space="preserve"> </w:t>
      </w:r>
      <w:r>
        <w:rPr>
          <w:rFonts w:ascii="Arial" w:cs="Arial" w:eastAsia="Arial" w:hAnsi="Arial"/>
          <w:sz w:val="18"/>
          <w:szCs w:val="18"/>
          <w:color w:val="auto"/>
        </w:rPr>
        <w:t>serious adverse events were observed. No subjects required rescue medication and no subjects experienced elevated IOP. There were 8 ocular treatment-emergent adverse events in this trial (2 in the DEXTENZA group and 6 in the vehicle group).</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Overview of clinical trial data</w:t>
      </w:r>
    </w:p>
    <w:p>
      <w:pPr>
        <w:spacing w:after="0" w:line="225" w:lineRule="exact"/>
        <w:rPr>
          <w:sz w:val="20"/>
          <w:szCs w:val="20"/>
          <w:color w:val="auto"/>
        </w:rPr>
      </w:pPr>
    </w:p>
    <w:p>
      <w:pPr>
        <w:ind w:left="60" w:right="79" w:firstLine="441"/>
        <w:spacing w:after="0" w:line="268" w:lineRule="auto"/>
        <w:rPr>
          <w:sz w:val="20"/>
          <w:szCs w:val="20"/>
          <w:color w:val="auto"/>
        </w:rPr>
      </w:pPr>
      <w:r>
        <w:rPr>
          <w:rFonts w:ascii="Arial" w:cs="Arial" w:eastAsia="Arial" w:hAnsi="Arial"/>
          <w:sz w:val="17"/>
          <w:szCs w:val="17"/>
          <w:color w:val="auto"/>
        </w:rPr>
        <w:t>Data received from the third Phase 3 clinical trial evaluating DEXTENZA for ocular itching associated with allergic conjunctivitis was generally consistent with our observations in our prior Phase 2 and Phase 3a clinical trials using a similar repeat CAC Model as reflected in the two figures below. For all analyses we have conducted, the subject is the unit of analysis. For the Phase 2 clinical trial, the data shown is for the prespecified primary endpoint of ocular itching at day 15 using the Intent-to-Treat (ITT) population and utilizing the last observation carried forward (LOCF) methodology to impute missing data. For the Phase 3 trials, the data shown is for the prespecified primary endpoint of ocular itching at day 8 using the ITT population and imputing missing data using the Markov Chain Monte Carlo (MCMC) multiple imputation method. The two figures below reflect the Phase 3 data using the MCMC method with different bases for imputation. In the first figure, the basis for imputation for the MCMC method is at the individual eye level. In the second figure, the basis for imputation for the MCMC method is at the subject level (average of the two eyes). Both methods may be appropriate and, in this case, yield similar conclusions. In certain data we have previously disclosed, we have presented analyses using the MCMC method with the individual eye as the basis for imputation. However, the statistical analysis plan for each of the three Phase 3 trials specifies that the basis for imputation for the MCMC method should be the subject level. Multiple other methods of imputation were also performed in some of the Phase 3 studies—including LOCF, baseline observation carried forward (BOCF), worse case observation (WCO), and observation only with no imputation—with similar clinical conclusions.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Primary Efficacy Endpoint – Eye Level Imputation</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Mean Ocular Itching Scores Across All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126365</wp:posOffset>
            </wp:positionV>
            <wp:extent cx="4972050" cy="2314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7205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Statistically Significant; P≤0.0025; Population: ITT + LOCF (Phase 2) &amp; ITT + MCMC (Phase 3)</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Primary Efficacy Endpoint – Subject Level Imputation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Mean Ocular Itching Scores Across All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126365</wp:posOffset>
            </wp:positionV>
            <wp:extent cx="5057775" cy="2211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5777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80" w:right="1719" w:hanging="230"/>
        <w:spacing w:after="0" w:line="500" w:lineRule="auto"/>
        <w:tabs>
          <w:tab w:leader="none" w:pos="1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Statistically Significant; P≤0.0025; Population: ITT + LOCF (Phase 2) &amp; ITT + MCMC (Phase 3) </w:t>
      </w:r>
      <w:r>
        <w:rPr>
          <w:rFonts w:ascii="Arial" w:cs="Arial" w:eastAsia="Arial" w:hAnsi="Arial"/>
          <w:sz w:val="18"/>
          <w:szCs w:val="18"/>
          <w:i w:val="1"/>
          <w:iCs w:val="1"/>
          <w:color w:val="auto"/>
        </w:rPr>
        <w:t>Regulatory Pathway</w:t>
      </w:r>
    </w:p>
    <w:p>
      <w:pPr>
        <w:spacing w:after="0" w:line="2" w:lineRule="exact"/>
        <w:rPr>
          <w:sz w:val="20"/>
          <w:szCs w:val="20"/>
          <w:color w:val="auto"/>
        </w:rPr>
      </w:pPr>
    </w:p>
    <w:p>
      <w:pPr>
        <w:ind w:left="60" w:right="199" w:firstLine="492"/>
        <w:spacing w:after="0" w:line="272" w:lineRule="auto"/>
        <w:rPr>
          <w:sz w:val="20"/>
          <w:szCs w:val="20"/>
          <w:color w:val="auto"/>
        </w:rPr>
      </w:pPr>
      <w:r>
        <w:rPr>
          <w:rFonts w:ascii="Arial" w:cs="Arial" w:eastAsia="Arial" w:hAnsi="Arial"/>
          <w:sz w:val="17"/>
          <w:szCs w:val="17"/>
          <w:color w:val="auto"/>
        </w:rPr>
        <w:t>In the fourth quarter of 2020, we submitted an sNDA for DEXTENZA under Section 505(b)(2) of the FDCA (See “—Government Regulation—Section 505(b)(2) NDAs” for additional information) to include the treatment of ocular itching associated with allergic conjunctivitis as an additional approved indication. The FDA has accepted our sNDA for filing and has established a target action date under PDUFA of October 18, 2021. We believe that the totality of the efficacy and safety data across the Phase 2 trial and the three Phase 3 trials (n = 323 subjects), as well as the safety data associated with the prior approval of DEXTENZA for the treatment of inflammation and pain following ophthalmic surgery, represent a strong data package in support of the sNDA.</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39" w:firstLine="492"/>
        <w:spacing w:after="0" w:line="277" w:lineRule="auto"/>
        <w:rPr>
          <w:sz w:val="20"/>
          <w:szCs w:val="20"/>
          <w:color w:val="auto"/>
        </w:rPr>
      </w:pPr>
      <w:r>
        <w:rPr>
          <w:rFonts w:ascii="Arial" w:cs="Arial" w:eastAsia="Arial" w:hAnsi="Arial"/>
          <w:sz w:val="18"/>
          <w:szCs w:val="18"/>
          <w:color w:val="auto"/>
        </w:rPr>
        <w:t>If our sNDA is approved, we expect to launch DEXTENZA for the treatment of ocular itching associated with allergic conjunctivitis in the first half of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Post-Surgical Ocular Inflammation and Pain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DEXTENZA (dexamethasone intracanalicular insert)</w:t>
      </w:r>
    </w:p>
    <w:p>
      <w:pPr>
        <w:spacing w:after="0" w:line="225" w:lineRule="exact"/>
        <w:rPr>
          <w:sz w:val="20"/>
          <w:szCs w:val="20"/>
          <w:color w:val="auto"/>
        </w:rPr>
      </w:pPr>
    </w:p>
    <w:p>
      <w:pPr>
        <w:ind w:left="60" w:right="139" w:firstLine="441"/>
        <w:spacing w:after="0" w:line="263" w:lineRule="auto"/>
        <w:rPr>
          <w:sz w:val="20"/>
          <w:szCs w:val="20"/>
          <w:color w:val="auto"/>
        </w:rPr>
      </w:pPr>
      <w:r>
        <w:rPr>
          <w:rFonts w:ascii="Arial" w:cs="Arial" w:eastAsia="Arial" w:hAnsi="Arial"/>
          <w:sz w:val="18"/>
          <w:szCs w:val="18"/>
          <w:color w:val="auto"/>
        </w:rPr>
        <w:t>DEXTENZA incorporates the FDA-approved corticosteroid dexamethasone as a preservative-free active pharmaceutical ingredient into a hydrogel, drug-eluting intracanalicular insert. Following FDA approval, we commercially launched DEXTENZA for the treatment of post-surgical inflammation and pain in July 2019.</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selected dexamethasone as the active pharmaceutical ingredient for DEXTENZA because it:</w:t>
      </w:r>
    </w:p>
    <w:p>
      <w:pPr>
        <w:spacing w:after="0" w:line="225" w:lineRule="exact"/>
        <w:rPr>
          <w:sz w:val="20"/>
          <w:szCs w:val="20"/>
          <w:color w:val="auto"/>
        </w:rPr>
      </w:pPr>
    </w:p>
    <w:p>
      <w:pPr>
        <w:ind w:left="840" w:hanging="331"/>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approved by the FDA and has a long history of ophthalmic use;</w:t>
      </w:r>
    </w:p>
    <w:p>
      <w:pPr>
        <w:spacing w:after="0" w:line="252" w:lineRule="exact"/>
        <w:rPr>
          <w:rFonts w:ascii="Arial" w:cs="Arial" w:eastAsia="Arial" w:hAnsi="Arial"/>
          <w:sz w:val="18"/>
          <w:szCs w:val="18"/>
          <w:color w:val="auto"/>
        </w:rPr>
      </w:pPr>
    </w:p>
    <w:p>
      <w:pPr>
        <w:ind w:left="840" w:hanging="331"/>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available on a generic basis;</w:t>
      </w:r>
    </w:p>
    <w:p>
      <w:pPr>
        <w:spacing w:after="0" w:line="252" w:lineRule="exact"/>
        <w:rPr>
          <w:rFonts w:ascii="Arial" w:cs="Arial" w:eastAsia="Arial" w:hAnsi="Arial"/>
          <w:sz w:val="18"/>
          <w:szCs w:val="18"/>
          <w:color w:val="auto"/>
        </w:rPr>
      </w:pPr>
    </w:p>
    <w:p>
      <w:pPr>
        <w:ind w:left="840" w:right="459" w:hanging="331"/>
        <w:spacing w:after="0" w:line="277"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highly potent and is typically prescribed for prevention of ocular inflammation and pain following ocular surgery;</w:t>
      </w:r>
    </w:p>
    <w:p>
      <w:pPr>
        <w:spacing w:after="0" w:line="197" w:lineRule="exact"/>
        <w:rPr>
          <w:rFonts w:ascii="Arial" w:cs="Arial" w:eastAsia="Arial" w:hAnsi="Arial"/>
          <w:sz w:val="18"/>
          <w:szCs w:val="18"/>
          <w:color w:val="auto"/>
        </w:rPr>
      </w:pPr>
    </w:p>
    <w:p>
      <w:pPr>
        <w:ind w:left="840" w:hanging="331"/>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available from multiple qualified suppliers; and</w:t>
      </w:r>
    </w:p>
    <w:p>
      <w:pPr>
        <w:spacing w:after="0" w:line="252" w:lineRule="exact"/>
        <w:rPr>
          <w:rFonts w:ascii="Arial" w:cs="Arial" w:eastAsia="Arial" w:hAnsi="Arial"/>
          <w:sz w:val="18"/>
          <w:szCs w:val="18"/>
          <w:color w:val="auto"/>
        </w:rPr>
      </w:pPr>
    </w:p>
    <w:p>
      <w:pPr>
        <w:ind w:left="840" w:hanging="331"/>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physical properties that are well suited for incorporation within our hydrogel technology.</w:t>
      </w:r>
    </w:p>
    <w:p>
      <w:pPr>
        <w:spacing w:after="0" w:line="225" w:lineRule="exact"/>
        <w:rPr>
          <w:sz w:val="20"/>
          <w:szCs w:val="20"/>
          <w:color w:val="auto"/>
        </w:rPr>
      </w:pPr>
    </w:p>
    <w:p>
      <w:pPr>
        <w:ind w:left="60" w:right="119" w:firstLine="441"/>
        <w:spacing w:after="0" w:line="301" w:lineRule="auto"/>
        <w:rPr>
          <w:sz w:val="20"/>
          <w:szCs w:val="20"/>
          <w:color w:val="auto"/>
        </w:rPr>
      </w:pPr>
      <w:r>
        <w:rPr>
          <w:rFonts w:ascii="Arial" w:cs="Arial" w:eastAsia="Arial" w:hAnsi="Arial"/>
          <w:sz w:val="16"/>
          <w:szCs w:val="16"/>
          <w:color w:val="auto"/>
        </w:rPr>
        <w:t>Embedded within our DEXTENZA intracanalicular insert are dexamethasone drug particles that gradually erode and release the drug in a programmed fashion until the drug is depleted. As the dexamethasone drug particles erode and the hydrogel degrades by hydrolysis, the intracanalicular insert softens, liquefies and is cleared through the nasolacrimal duct. We provide the DEXTENZA drug product in a preservative-free formulation in a sterile, single use package.</w:t>
      </w:r>
    </w:p>
    <w:p>
      <w:pPr>
        <w:spacing w:after="0" w:line="157" w:lineRule="exact"/>
        <w:rPr>
          <w:sz w:val="20"/>
          <w:szCs w:val="20"/>
          <w:color w:val="auto"/>
        </w:rPr>
      </w:pPr>
    </w:p>
    <w:p>
      <w:pPr>
        <w:ind w:left="60" w:right="139" w:firstLine="441"/>
        <w:spacing w:after="0" w:line="293" w:lineRule="auto"/>
        <w:rPr>
          <w:sz w:val="20"/>
          <w:szCs w:val="20"/>
          <w:color w:val="auto"/>
        </w:rPr>
      </w:pPr>
      <w:r>
        <w:rPr>
          <w:rFonts w:ascii="Arial" w:cs="Arial" w:eastAsia="Arial" w:hAnsi="Arial"/>
          <w:sz w:val="16"/>
          <w:szCs w:val="16"/>
          <w:color w:val="auto"/>
        </w:rPr>
        <w:t>The standard regimen for dexamethasone eye drops following cataract surgery is an initial administration of four times daily for one week, with a gradual tapering in the number of eye drops over a four-week period. Such a regimen is often confusing to patients as they must remember to taper the number of times per day they administer the steroid, while also taking multiple drops of other drugs, such as antibiotics and NSAIDs. We believe that local programmed-release of drug to the eye may result in better control of ocular inflammation and pain as compared to prescription eye drops and that a low dose amount may provide enhanced safety by eliminating spikes in IOP associated with high-dose steroid eye drops.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Overview of Clinical Development for Post-Surgical Ocular Inflammation and Pain</w:t>
      </w:r>
    </w:p>
    <w:p>
      <w:pPr>
        <w:spacing w:after="0" w:line="225" w:lineRule="exact"/>
        <w:rPr>
          <w:sz w:val="20"/>
          <w:szCs w:val="20"/>
          <w:color w:val="auto"/>
        </w:rPr>
      </w:pPr>
    </w:p>
    <w:p>
      <w:pPr>
        <w:ind w:left="60" w:right="139" w:firstLine="441"/>
        <w:spacing w:after="0" w:line="254" w:lineRule="auto"/>
        <w:rPr>
          <w:sz w:val="20"/>
          <w:szCs w:val="20"/>
          <w:color w:val="auto"/>
        </w:rPr>
      </w:pPr>
      <w:r>
        <w:rPr>
          <w:rFonts w:ascii="Arial" w:cs="Arial" w:eastAsia="Arial" w:hAnsi="Arial"/>
          <w:sz w:val="18"/>
          <w:szCs w:val="18"/>
          <w:color w:val="auto"/>
        </w:rPr>
        <w:t>In March and April 2015, we reported topline results from two Phase 3 clinical trials for the treatment of post-surgical ocular inflammation and pain. In the first Phase 3 clinical trial, DEXTENZA met both primary efficacy endpoints, absence of pain at day 8 and absence of inflammatory cells at day 14, with statistical significance. In the second Phase 3 clinical trial, DEXTENZA met the primary efficacy endpoint for absence of pain at day 8 with statistical significance but did not meet the primary efficacy endpoint for absence of inflammatory cells at day 14. We met with the FDA in April 2015 to discuss the path forward for seeking marketing approval of DEXTENZA for the treatment of post-surgical ocular inflammation and pain.</w:t>
      </w:r>
    </w:p>
    <w:p>
      <w:pPr>
        <w:spacing w:after="0" w:line="195" w:lineRule="exact"/>
        <w:rPr>
          <w:sz w:val="20"/>
          <w:szCs w:val="20"/>
          <w:color w:val="auto"/>
        </w:rPr>
      </w:pPr>
    </w:p>
    <w:p>
      <w:pPr>
        <w:ind w:left="60" w:right="119" w:firstLine="441"/>
        <w:spacing w:after="0" w:line="272" w:lineRule="auto"/>
        <w:rPr>
          <w:sz w:val="20"/>
          <w:szCs w:val="20"/>
          <w:color w:val="auto"/>
        </w:rPr>
      </w:pPr>
      <w:r>
        <w:rPr>
          <w:rFonts w:ascii="Arial" w:cs="Arial" w:eastAsia="Arial" w:hAnsi="Arial"/>
          <w:sz w:val="17"/>
          <w:szCs w:val="17"/>
          <w:color w:val="auto"/>
        </w:rPr>
        <w:t>In this pre-NDA clinical meeting, the FDA indicated that the existing data from our Phase 2 and two Phase 3 clinical trials are appropriate to support an NDA submission for DEXTENZA for a post-surgical ocular pain indication. The FDA further indicated that we would need additional data from a third Phase 3 clinical trial for the inflammation endpoint to support the potential labeling expansion of DEXTENZA’s indications for use. We initiated a third Phase 3 clinical trial for DEXTENZA for the treatment of post-surgical ocular inflammation and pain in October 2015. In September 2015, we submitted to the FDA an NDA for DEXTENZA for the treatment of post-surgical ocular pain. In July 2016, we received a complete response letter, or CRL, from the FDA regarding our NDA for DEXTENZA. We</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08" w:lineRule="auto"/>
        <w:rPr>
          <w:sz w:val="20"/>
          <w:szCs w:val="20"/>
          <w:color w:val="auto"/>
        </w:rPr>
      </w:pPr>
      <w:r>
        <w:rPr>
          <w:rFonts w:ascii="Arial" w:cs="Arial" w:eastAsia="Arial" w:hAnsi="Arial"/>
          <w:sz w:val="17"/>
          <w:szCs w:val="17"/>
          <w:color w:val="auto"/>
        </w:rPr>
        <w:t>resubmitted our NDA for DEXTENZA for the treatment of post-surgical ocular pain in June 2018. In November 2018, we received approval for the pain indication. In June 2019, we received approval for the inflammation indication.</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Completed Phase 3 Clinical Trials</w:t>
      </w:r>
    </w:p>
    <w:p>
      <w:pPr>
        <w:spacing w:after="0" w:line="225" w:lineRule="exact"/>
        <w:rPr>
          <w:sz w:val="20"/>
          <w:szCs w:val="20"/>
          <w:color w:val="auto"/>
        </w:rPr>
      </w:pPr>
    </w:p>
    <w:p>
      <w:pPr>
        <w:ind w:left="60" w:right="79" w:firstLine="441"/>
        <w:spacing w:after="0" w:line="254" w:lineRule="auto"/>
        <w:rPr>
          <w:sz w:val="20"/>
          <w:szCs w:val="20"/>
          <w:color w:val="auto"/>
        </w:rPr>
      </w:pPr>
      <w:r>
        <w:rPr>
          <w:rFonts w:ascii="Arial" w:cs="Arial" w:eastAsia="Arial" w:hAnsi="Arial"/>
          <w:sz w:val="18"/>
          <w:szCs w:val="18"/>
          <w:color w:val="auto"/>
        </w:rPr>
        <w:t>In 2014, we initiated a pivotal clinical trial program that consisted of two prospective, randomized, parallel-arm, vehicle-controlled, multicenter, double-masked Phase 3 clinical trials evaluating the safety and efficacy of DEXTENZA for the treatment of ocular inflammation and pain following cataract surgery. We initiated the first of these Phase 3 clinical trials in February 2014 and the second trial in April 2014. Patient enrollment was completed in September 2014, and the topline efficacy data from these clinical trials was reported in March and April 2015. We initiated a third Phase 3 clinical trial in the October 2015. Patient enrollment in the third Phase 3 clinical trial was completed in May 2016 and the topline efficacy data was reported in November 2016.</w:t>
      </w:r>
    </w:p>
    <w:p>
      <w:pPr>
        <w:spacing w:after="0" w:line="195" w:lineRule="exact"/>
        <w:rPr>
          <w:sz w:val="20"/>
          <w:szCs w:val="20"/>
          <w:color w:val="auto"/>
        </w:rPr>
      </w:pPr>
    </w:p>
    <w:p>
      <w:pPr>
        <w:ind w:left="60" w:right="99" w:firstLine="441"/>
        <w:spacing w:after="0" w:line="255" w:lineRule="auto"/>
        <w:rPr>
          <w:sz w:val="20"/>
          <w:szCs w:val="20"/>
          <w:color w:val="auto"/>
        </w:rPr>
      </w:pPr>
      <w:r>
        <w:rPr>
          <w:rFonts w:ascii="Arial" w:cs="Arial" w:eastAsia="Arial" w:hAnsi="Arial"/>
          <w:sz w:val="18"/>
          <w:szCs w:val="18"/>
          <w:color w:val="auto"/>
        </w:rPr>
        <w:t>We enrolled 247 patients at 16 sites in the first Phase 3 clinical trial, 241 patients at 16 sites in the second Phase 3 clinical trial and 438 patients at 21 sites in the third Phase 3 clinical trial in the United States pursuant to our effective IND. We randomized patients in a 2:1 ratio in the first two Phase 3 clinical trials and in a 1:1 ratio in the third Phase 3 clinical trial to receive either DEXTENZA or a placebo vehicle control intracanalicular insert without active drug. We evaluated patients at days 2, 4, 8, 14, 30 and 60 following surgery in the first two Phase 3 trials and at days 2, 4, 8, 14, and 30 in the third Phase 3 clinical trial.</w:t>
      </w:r>
    </w:p>
    <w:p>
      <w:pPr>
        <w:spacing w:after="0" w:line="192" w:lineRule="exact"/>
        <w:rPr>
          <w:sz w:val="20"/>
          <w:szCs w:val="20"/>
          <w:color w:val="auto"/>
        </w:rPr>
      </w:pPr>
    </w:p>
    <w:p>
      <w:pPr>
        <w:ind w:left="60" w:right="139" w:firstLine="441"/>
        <w:spacing w:after="0" w:line="288" w:lineRule="auto"/>
        <w:rPr>
          <w:sz w:val="20"/>
          <w:szCs w:val="20"/>
          <w:color w:val="auto"/>
        </w:rPr>
      </w:pPr>
      <w:r>
        <w:rPr>
          <w:rFonts w:ascii="Arial" w:cs="Arial" w:eastAsia="Arial" w:hAnsi="Arial"/>
          <w:sz w:val="16"/>
          <w:szCs w:val="16"/>
          <w:color w:val="auto"/>
        </w:rPr>
        <w:t>The two primary efficacy measures in these trials were absence of inflammatory cells in the anterior chamber of the study eye when measured with a slit lamp biomicroscope and absence of pain in the study eye. To meet the efficacy end point for absence of inflammatory cells, there needed to be a complete absence of inflammatory cells. In these trials, absence of pain was based on a patient reported score of zero on a scale from zero to ten of ocular pain assessment. The first primary efficacy endpoint for these trials was the difference in the proportion of patients in each treatment group with absence of inflammatory cells in the anterior chamber of the study eye at day 14 following surgery. Pivotal clinical trials for other ophthalmic steroid drugs approved by the FDA for marketing in the United States also have evaluated this endpoint at day 14. The second primary efficacy endpoint for these trials was the difference in the proportion of patients in each treatment group with absence of pain in the study eye at day 8 following surgery. For clarification of the endpoints, the day of surgery and insertion of DEXTENZA or the placebo is considered to be day 1.</w:t>
      </w:r>
    </w:p>
    <w:p>
      <w:pPr>
        <w:spacing w:after="0" w:line="168" w:lineRule="exact"/>
        <w:rPr>
          <w:sz w:val="20"/>
          <w:szCs w:val="20"/>
          <w:color w:val="auto"/>
        </w:rPr>
      </w:pPr>
    </w:p>
    <w:p>
      <w:pPr>
        <w:ind w:left="60" w:right="99" w:firstLine="441"/>
        <w:spacing w:after="0" w:line="291" w:lineRule="auto"/>
        <w:rPr>
          <w:sz w:val="20"/>
          <w:szCs w:val="20"/>
          <w:color w:val="auto"/>
        </w:rPr>
      </w:pPr>
      <w:r>
        <w:rPr>
          <w:rFonts w:ascii="Arial" w:cs="Arial" w:eastAsia="Arial" w:hAnsi="Arial"/>
          <w:sz w:val="16"/>
          <w:szCs w:val="16"/>
          <w:color w:val="auto"/>
        </w:rPr>
        <w:t>We evaluated as secondary efficacy measures the level of flare, an indicator of inflammation in the anterior chamber of the study eye at each evaluation date until day 30 and absence of inflammatory cells in the anterior chamber of the study eye and absence of pain in the study eye at each evaluation date other than the day used for the primary efficacy measure until day 30. The secondary analyses on primary endpoints were intended to be exploratory assessments that can be used to support the results from the primary endpoints. We enrolled patients in these two trials who were at least 18 years of age undergoing unilateral clear corneal cataract surgery. We excluded patients from these trials if, among other reasons, they had intraocular inflammation or ocular pain in the study eye at screening or had glaucoma or ocular hypertension.</w:t>
      </w:r>
    </w:p>
    <w:p>
      <w:pPr>
        <w:spacing w:after="0" w:line="166" w:lineRule="exact"/>
        <w:rPr>
          <w:sz w:val="20"/>
          <w:szCs w:val="20"/>
          <w:color w:val="auto"/>
        </w:rPr>
      </w:pPr>
    </w:p>
    <w:p>
      <w:pPr>
        <w:ind w:left="60" w:right="199" w:firstLine="441"/>
        <w:spacing w:after="0" w:line="277" w:lineRule="auto"/>
        <w:rPr>
          <w:sz w:val="20"/>
          <w:szCs w:val="20"/>
          <w:color w:val="auto"/>
        </w:rPr>
      </w:pPr>
      <w:r>
        <w:rPr>
          <w:rFonts w:ascii="Arial" w:cs="Arial" w:eastAsia="Arial" w:hAnsi="Arial"/>
          <w:sz w:val="18"/>
          <w:szCs w:val="18"/>
          <w:color w:val="auto"/>
        </w:rPr>
        <w:t>We evaluated safety in all patients at each study visit with an assessment of general eye conditions, including visual acuity and IOP, along with any adverse events.</w:t>
      </w:r>
    </w:p>
    <w:p>
      <w:pPr>
        <w:spacing w:after="0" w:line="166" w:lineRule="exact"/>
        <w:rPr>
          <w:sz w:val="20"/>
          <w:szCs w:val="20"/>
          <w:color w:val="auto"/>
        </w:rPr>
      </w:pPr>
    </w:p>
    <w:p>
      <w:pPr>
        <w:ind w:left="60" w:right="99" w:firstLine="441"/>
        <w:spacing w:after="0" w:line="254" w:lineRule="auto"/>
        <w:rPr>
          <w:sz w:val="20"/>
          <w:szCs w:val="20"/>
          <w:color w:val="auto"/>
        </w:rPr>
      </w:pPr>
      <w:r>
        <w:rPr>
          <w:rFonts w:ascii="Arial" w:cs="Arial" w:eastAsia="Arial" w:hAnsi="Arial"/>
          <w:sz w:val="18"/>
          <w:szCs w:val="18"/>
          <w:b w:val="1"/>
          <w:bCs w:val="1"/>
          <w:color w:val="auto"/>
        </w:rPr>
        <w:t xml:space="preserve">Efficacy: </w:t>
      </w:r>
      <w:r>
        <w:rPr>
          <w:rFonts w:ascii="Arial" w:cs="Arial" w:eastAsia="Arial" w:hAnsi="Arial"/>
          <w:sz w:val="18"/>
          <w:szCs w:val="18"/>
          <w:color w:val="auto"/>
        </w:rPr>
        <w:t>In the first Phase 3 clinical trial, DEXTENZA met the primary efficacy endpoint with statistical</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significance for the absence of cells in the anterior chamber compared to the vehicle control at day 14. 33.1% of DEXTENZA treated patients showed an absence of inflammatory cells in the anterior chamber of the study eye on day 14 following drug product insertion, compared to 14.5% of those receiving placebo vehicle control intracanalicular inserts (p=0.0018). DEXTENZA also met the primary efficacy endpoint with statistical significance for absence of pain compared to the vehicle control at day 8. 80.4% of patients receiving DEXTENZA reported absence of pain in the study eye on day 8 following insertion of the drug product, compared to 43.4% of those receiving placebo vehicle control intracanalicular inserts (p&lt; 0.0001).</w:t>
      </w:r>
    </w:p>
    <w:p>
      <w:pPr>
        <w:spacing w:after="0" w:line="196" w:lineRule="exact"/>
        <w:rPr>
          <w:sz w:val="20"/>
          <w:szCs w:val="20"/>
          <w:color w:val="auto"/>
        </w:rPr>
      </w:pPr>
    </w:p>
    <w:p>
      <w:pPr>
        <w:ind w:left="60" w:right="119" w:firstLine="441"/>
        <w:spacing w:after="0" w:line="275" w:lineRule="auto"/>
        <w:rPr>
          <w:sz w:val="20"/>
          <w:szCs w:val="20"/>
          <w:color w:val="auto"/>
        </w:rPr>
      </w:pPr>
      <w:r>
        <w:rPr>
          <w:rFonts w:ascii="Arial" w:cs="Arial" w:eastAsia="Arial" w:hAnsi="Arial"/>
          <w:sz w:val="17"/>
          <w:szCs w:val="17"/>
          <w:color w:val="auto"/>
        </w:rPr>
        <w:t>In the second Phase 3 clinical trial, DEXTENZA met the primary efficacy endpoint for absence of pain at day 8 with statistical significance but did not meet the primary efficacy endpoint for absence of inflammatory cells at day 14. In the second Phase 3 clinical trial, 77.5% of patients receiving DEXTENZA reported an absence of pain in the study eye on day 8 following insertion of the drug product, compared to 58.8% of those receiving placebo vehicle control intracanalicular inserts, a difference which was statistically significant (p=0.0025). However, 39.4% of DEXTENZA</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treated patients showed an absence of inflammatory cells in the anterior chamber of the study eye on day 14 following drug product insertion, compared to 31.3% of those receiving placebo vehicle control intracanalicular inserts, a difference which was not statistically significant (p=0.2182).</w:t>
      </w:r>
    </w:p>
    <w:p>
      <w:pPr>
        <w:spacing w:after="0" w:line="184" w:lineRule="exact"/>
        <w:rPr>
          <w:sz w:val="20"/>
          <w:szCs w:val="20"/>
          <w:color w:val="auto"/>
        </w:rPr>
      </w:pPr>
    </w:p>
    <w:p>
      <w:pPr>
        <w:ind w:left="60" w:right="159" w:firstLine="441"/>
        <w:spacing w:after="0" w:line="291" w:lineRule="auto"/>
        <w:rPr>
          <w:sz w:val="20"/>
          <w:szCs w:val="20"/>
          <w:color w:val="auto"/>
        </w:rPr>
      </w:pPr>
      <w:r>
        <w:rPr>
          <w:rFonts w:ascii="Arial" w:cs="Arial" w:eastAsia="Arial" w:hAnsi="Arial"/>
          <w:sz w:val="16"/>
          <w:szCs w:val="16"/>
          <w:color w:val="auto"/>
        </w:rPr>
        <w:t>In the third Phase 3 clinical trial, DEXTENZA met the primary efficacy endpoint with statistical significance for the absence of cells in the anterior chamber compared to the vehicle control at day 14. 52.1% of DEXTENZA treated patients showed an absence of inflammatory cells in the anterior chamber of the study eye on day 14 following drug product insertion compared to 31.2% of those receiving placebo vehicle control intracanalicular inserts (p&lt; 0.0001). DEXTENZA also met the primary efficacy endpoint with statistical significance for absence of pain compared to the vehicle control at day 8. 79.3% of patients receiving DEXTENZA reported absence of pain in the study eye on day 8 following insertion of the drug product, compared to 61.3% of those receiving placebo vehicle control intracanalicular inserts (p&lt; 0.0001).</w:t>
      </w:r>
    </w:p>
    <w:p>
      <w:pPr>
        <w:spacing w:after="0" w:line="166" w:lineRule="exact"/>
        <w:rPr>
          <w:sz w:val="20"/>
          <w:szCs w:val="20"/>
          <w:color w:val="auto"/>
        </w:rPr>
      </w:pPr>
    </w:p>
    <w:p>
      <w:pPr>
        <w:ind w:left="60" w:right="59" w:firstLine="441"/>
        <w:spacing w:after="0" w:line="293" w:lineRule="auto"/>
        <w:rPr>
          <w:sz w:val="20"/>
          <w:szCs w:val="20"/>
          <w:color w:val="auto"/>
        </w:rPr>
      </w:pPr>
      <w:r>
        <w:rPr>
          <w:rFonts w:ascii="Arial" w:cs="Arial" w:eastAsia="Arial" w:hAnsi="Arial"/>
          <w:sz w:val="16"/>
          <w:szCs w:val="16"/>
          <w:color w:val="auto"/>
        </w:rPr>
        <w:t>Secondary analyses on primary endpoints for the three Phase 3 clinical trials were also completed. In the first Phase 3 clinical trial, statistically significant differences were seen for absence of pain at all time points (days 2, 4, 8, 14, 30 and 60) in the DEXTENZA treatment group compared to the vehicle control group. Statistically significant differences were seen for the absence of inflammatory cells at day 30 in the DEXTENZA treatment group compared to the vehicle control group, and there were no statistically significant differences seen at the other time points. Statistically significant differences between the DEXTENZA treatment group and the vehicle control group were seen for flare at days 8, 14 and 30.</w:t>
      </w:r>
    </w:p>
    <w:p>
      <w:pPr>
        <w:spacing w:after="0" w:line="164" w:lineRule="exact"/>
        <w:rPr>
          <w:sz w:val="20"/>
          <w:szCs w:val="20"/>
          <w:color w:val="auto"/>
        </w:rPr>
      </w:pPr>
    </w:p>
    <w:p>
      <w:pPr>
        <w:ind w:left="60" w:right="99" w:firstLine="441"/>
        <w:spacing w:after="0" w:line="254" w:lineRule="auto"/>
        <w:rPr>
          <w:sz w:val="20"/>
          <w:szCs w:val="20"/>
          <w:color w:val="auto"/>
        </w:rPr>
      </w:pPr>
      <w:r>
        <w:rPr>
          <w:rFonts w:ascii="Arial" w:cs="Arial" w:eastAsia="Arial" w:hAnsi="Arial"/>
          <w:sz w:val="18"/>
          <w:szCs w:val="18"/>
          <w:color w:val="auto"/>
        </w:rPr>
        <w:t>In the second Phase 3 clinical trial, statistically significant differences were seen for absence of pain at days 2, 4, 14 and 30 in the DEXTENZA treatment group compared to the vehicle control group. A similar proportion of patients in the DEXTENZA treatment group and the vehicle control group were observed to have an absence of inflammatory cells at days 2, 4, 8, and 30. A statistically significant difference between treatment groups was not seen for the absence of inflammatory cells until the day 60 visit, at which time a greater proportion of patients in the DEXTENZA treatment group compared to the vehicle control group were observed to have an absence of inflammatory cells at day 60 (p=0.0012). Statistically significant differences between the DEXTENZA treatment group and the vehicle control group were seen for flare at days 14, 30 and 60.</w:t>
      </w:r>
    </w:p>
    <w:p>
      <w:pPr>
        <w:spacing w:after="0" w:line="192" w:lineRule="exact"/>
        <w:rPr>
          <w:sz w:val="20"/>
          <w:szCs w:val="20"/>
          <w:color w:val="auto"/>
        </w:rPr>
      </w:pPr>
    </w:p>
    <w:p>
      <w:pPr>
        <w:ind w:left="60" w:right="239" w:firstLine="441"/>
        <w:spacing w:after="0" w:line="257" w:lineRule="auto"/>
        <w:rPr>
          <w:sz w:val="20"/>
          <w:szCs w:val="20"/>
          <w:color w:val="auto"/>
        </w:rPr>
      </w:pPr>
      <w:r>
        <w:rPr>
          <w:rFonts w:ascii="Arial" w:cs="Arial" w:eastAsia="Arial" w:hAnsi="Arial"/>
          <w:sz w:val="18"/>
          <w:szCs w:val="18"/>
          <w:color w:val="auto"/>
        </w:rPr>
        <w:t>In the third Phase 3 clinical trial, statistically significant differences were seen for absence of pain at all time points (days 2,4, 14, and 30) in the DEXTENZA treatment group compared to the vehicle control group. Statistically significant differences were seen for the absence of inflammatory cells at days 4, 8, and 30 but not seen at day 2. Statistically significant differences between the DEXTENZA treatment group and the vehicle control group were seen for flare at all measured time points (days 2, 4, 8, 14, and 30).</w:t>
      </w:r>
    </w:p>
    <w:p>
      <w:pPr>
        <w:spacing w:after="0" w:line="184" w:lineRule="exact"/>
        <w:rPr>
          <w:sz w:val="20"/>
          <w:szCs w:val="20"/>
          <w:color w:val="auto"/>
        </w:rPr>
      </w:pPr>
    </w:p>
    <w:p>
      <w:pPr>
        <w:ind w:left="60" w:right="159" w:firstLine="441"/>
        <w:spacing w:after="0" w:line="269" w:lineRule="auto"/>
        <w:rPr>
          <w:sz w:val="20"/>
          <w:szCs w:val="20"/>
          <w:color w:val="auto"/>
        </w:rPr>
      </w:pPr>
      <w:r>
        <w:rPr>
          <w:rFonts w:ascii="Arial" w:cs="Arial" w:eastAsia="Arial" w:hAnsi="Arial"/>
          <w:sz w:val="17"/>
          <w:szCs w:val="17"/>
          <w:b w:val="1"/>
          <w:bCs w:val="1"/>
          <w:color w:val="auto"/>
        </w:rPr>
        <w:t xml:space="preserve">Safety: </w:t>
      </w:r>
      <w:r>
        <w:rPr>
          <w:rFonts w:ascii="Arial" w:cs="Arial" w:eastAsia="Arial" w:hAnsi="Arial"/>
          <w:sz w:val="17"/>
          <w:szCs w:val="17"/>
          <w:color w:val="auto"/>
        </w:rPr>
        <w:t>There were no ocular or treatment-related serious adverse events in the DEXTENZA treatment group in</w:t>
      </w:r>
      <w:r>
        <w:rPr>
          <w:rFonts w:ascii="Arial" w:cs="Arial" w:eastAsia="Arial" w:hAnsi="Arial"/>
          <w:sz w:val="17"/>
          <w:szCs w:val="17"/>
          <w:b w:val="1"/>
          <w:bCs w:val="1"/>
          <w:color w:val="auto"/>
        </w:rPr>
        <w:t xml:space="preserve"> </w:t>
      </w:r>
      <w:r>
        <w:rPr>
          <w:rFonts w:ascii="Arial" w:cs="Arial" w:eastAsia="Arial" w:hAnsi="Arial"/>
          <w:sz w:val="17"/>
          <w:szCs w:val="17"/>
          <w:color w:val="auto"/>
        </w:rPr>
        <w:t>either of the first two completed Phase 3 clinical trials. There was one ocular serious adverse event in the vehicle control group in the first two completed Phase 3 clinical trials: hypopyon, or inflammatory cells in the anterior chamber. There were two patients with three serious adverse events in the DEXTENZA treatment group in the first Phase 3 clinical trial (1.2% incidence), compared with two patients with four serious adverse events in the vehicle control group (2.4% incidence). There were two serious adverse events in the DEXTENZA treatment group in the second Phase 3 clinical trial (1.3% incidence), compared with three serious adverse events in the vehicle control group (3.8% incidence). There were three serious adverse events in the DEXTENZA treatment group in the third Phase 3 clinical trial (1.4% incidence), compared with two serious adverse events in the vehicle control group (0.9% incidence). One serious adverse event in the DEXTENZA group was ocular in nature (retinal detachment). None of the serious adverse events in either group were deemed to be treatment-related.</w:t>
      </w:r>
    </w:p>
    <w:p>
      <w:pPr>
        <w:spacing w:after="0" w:line="186" w:lineRule="exact"/>
        <w:rPr>
          <w:sz w:val="20"/>
          <w:szCs w:val="20"/>
          <w:color w:val="auto"/>
        </w:rPr>
      </w:pPr>
    </w:p>
    <w:p>
      <w:pPr>
        <w:ind w:left="60" w:right="79" w:firstLine="441"/>
        <w:spacing w:after="0" w:line="290" w:lineRule="auto"/>
        <w:rPr>
          <w:sz w:val="20"/>
          <w:szCs w:val="20"/>
          <w:color w:val="auto"/>
        </w:rPr>
      </w:pPr>
      <w:r>
        <w:rPr>
          <w:rFonts w:ascii="Arial" w:cs="Arial" w:eastAsia="Arial" w:hAnsi="Arial"/>
          <w:sz w:val="16"/>
          <w:szCs w:val="16"/>
          <w:color w:val="auto"/>
        </w:rPr>
        <w:t>Patients were randomized in a 2:1 ratio in the first two Phase 3 clinical trials and in a 1:1 ratio in the third Phase 3 clinical trial between the treatment group and the vehicle control group. In the first Phase 3 clinical trial, 98 adverse events were noted in the DEXTENZA group and 59 adverse events were noted in the vehicle control group. In the second Phase 3 clinical trial, 74 adverse events were noted in the DEXTENZA group and 47 adverse events were noted in the vehicle control group. In the third Phase 3 clinical trial, 91 adverse events were noted in the DEXTENZA group and 109 adverse events were noted in the vehicle control group. All adverse events were either resolved or considered chronic/stable at the time of subject exit from the study. We expect to be able to use the safety data from these Phase 3 trials to support our other DEXTENZA clinical development programs, including for allergic conjunctivitis.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Investigator-Initiated Trials</w:t>
      </w:r>
    </w:p>
    <w:p>
      <w:pPr>
        <w:spacing w:after="0" w:line="225" w:lineRule="exact"/>
        <w:rPr>
          <w:sz w:val="20"/>
          <w:szCs w:val="20"/>
          <w:color w:val="auto"/>
        </w:rPr>
      </w:pPr>
    </w:p>
    <w:p>
      <w:pPr>
        <w:ind w:left="60" w:right="259" w:firstLine="441"/>
        <w:spacing w:after="0" w:line="259" w:lineRule="auto"/>
        <w:rPr>
          <w:sz w:val="20"/>
          <w:szCs w:val="20"/>
          <w:color w:val="auto"/>
        </w:rPr>
      </w:pPr>
      <w:r>
        <w:rPr>
          <w:rFonts w:ascii="Arial" w:cs="Arial" w:eastAsia="Arial" w:hAnsi="Arial"/>
          <w:sz w:val="18"/>
          <w:szCs w:val="18"/>
          <w:color w:val="auto"/>
        </w:rPr>
        <w:t>We have received proposals for, and plan to support, several investigator-initiated trials evaluating DEXTENZA in different clinical situations. To date, third-party clinical investigators have initiated over 25 trials to study the use of DEXTENZA in cataract surgery and other potential indications. Seven of the trials have completed enrollment, the remaining trials are actively enrolling and treated patients are being followed.</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Regulatory Pathway</w:t>
      </w:r>
    </w:p>
    <w:p>
      <w:pPr>
        <w:spacing w:after="0" w:line="225" w:lineRule="exact"/>
        <w:rPr>
          <w:sz w:val="20"/>
          <w:szCs w:val="20"/>
          <w:color w:val="auto"/>
        </w:rPr>
      </w:pPr>
    </w:p>
    <w:p>
      <w:pPr>
        <w:ind w:left="60" w:right="439" w:firstLine="441"/>
        <w:spacing w:after="0" w:line="275" w:lineRule="auto"/>
        <w:rPr>
          <w:sz w:val="20"/>
          <w:szCs w:val="20"/>
          <w:color w:val="auto"/>
        </w:rPr>
      </w:pPr>
      <w:r>
        <w:rPr>
          <w:rFonts w:ascii="Arial" w:cs="Arial" w:eastAsia="Arial" w:hAnsi="Arial"/>
          <w:sz w:val="17"/>
          <w:szCs w:val="17"/>
          <w:color w:val="auto"/>
        </w:rPr>
        <w:t>In November 2018, we received FDA approval for DEXTENZA for the pain indication. In January 2019, we submitted a sNDA for DEXTENZA for the treatment of post-surgical ocular inflammation. In June 2019, we received FDA approval for DEXTENZA for the inflammation indication. Although we conducted our Phase 3 clinical trials of DEXTENZA in patients who have undergone cataract surgery, these trials were intended to support, and DEXTENZA ultimately received, a label for patients who have undergone any ocular surgery.</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Post-Approval Studies</w:t>
      </w:r>
    </w:p>
    <w:p>
      <w:pPr>
        <w:spacing w:after="0" w:line="225" w:lineRule="exact"/>
        <w:rPr>
          <w:sz w:val="20"/>
          <w:szCs w:val="20"/>
          <w:color w:val="auto"/>
        </w:rPr>
      </w:pPr>
    </w:p>
    <w:p>
      <w:pPr>
        <w:ind w:left="60" w:right="119" w:firstLine="441"/>
        <w:spacing w:after="0" w:line="269" w:lineRule="auto"/>
        <w:rPr>
          <w:sz w:val="20"/>
          <w:szCs w:val="20"/>
          <w:color w:val="auto"/>
        </w:rPr>
      </w:pPr>
      <w:r>
        <w:rPr>
          <w:rFonts w:ascii="Arial" w:cs="Arial" w:eastAsia="Arial" w:hAnsi="Arial"/>
          <w:sz w:val="17"/>
          <w:szCs w:val="17"/>
          <w:color w:val="auto"/>
        </w:rPr>
        <w:t>In September 2020, we announced that we had dosed the first pediatric patients in a Phase 3 clinical trial evaluating DEXTENZA for the treatment of post-surgical ocular inflammation and pain in children following cataract surgery. This planned clinical trial is a post-approval requirement of the FDA in accordance with the Pediatric Research Equity Act of 2003, in connection with the FDA’s prior approval of DEXTENZA for the treatment of inflammation and pain following ophthalmic surgery in adults. The Phase 3 clinical trial is a U.S.-based, randomized, multicenter clinical trial in which we intend to enroll approximately 60 subjects. It is designed to evaluate the safety and biological activity of DEXTENZA compared to an active control, prednisolone acetate suspension eye drops, for the treatment of inflammation and pain following ocular surgery for pediatric cataract in children between zero and three years of age. The primary endpoint is the absence of pain at day eight post-treatment as measured by a FLACC (Face, Legs, Activity, Cry, Consolability) score of zero.</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Foreign Approvals</w:t>
      </w:r>
    </w:p>
    <w:p>
      <w:pPr>
        <w:spacing w:after="0" w:line="225" w:lineRule="exact"/>
        <w:rPr>
          <w:sz w:val="20"/>
          <w:szCs w:val="20"/>
          <w:color w:val="auto"/>
        </w:rPr>
      </w:pPr>
    </w:p>
    <w:p>
      <w:pPr>
        <w:ind w:left="60" w:right="119" w:firstLine="441"/>
        <w:spacing w:after="0" w:line="271" w:lineRule="auto"/>
        <w:rPr>
          <w:sz w:val="20"/>
          <w:szCs w:val="20"/>
          <w:color w:val="auto"/>
        </w:rPr>
      </w:pPr>
      <w:r>
        <w:rPr>
          <w:rFonts w:ascii="Arial" w:cs="Arial" w:eastAsia="Arial" w:hAnsi="Arial"/>
          <w:sz w:val="17"/>
          <w:szCs w:val="17"/>
          <w:color w:val="auto"/>
        </w:rPr>
        <w:t>Outside the United States, we continue to assess whether to seek regulatory approval for DEXTENZA in markets such as the European Union, Australia and Japan based on the market opportunity, particularly pricing, and the requirements for marketing approval. Given our prioritization of the clinical development of our sustained-release product candidates and our planned commercialization efforts for our initial intracanalicular insert product candidates in the United States, we will need to engage a third parties to assist us in the approval process. We have entered into a license agreement and collaboration with AffaMed for the development and commercialization of DEXTENZA, along with OTX-TIC, in specified Asian markets. From time to time, we may consider additional arrangements with other companies to address markets outside of the United States.</w:t>
      </w:r>
    </w:p>
    <w:p>
      <w:pPr>
        <w:spacing w:after="0" w:line="178" w:lineRule="exact"/>
        <w:rPr>
          <w:sz w:val="20"/>
          <w:szCs w:val="20"/>
          <w:color w:val="auto"/>
        </w:rPr>
      </w:pPr>
    </w:p>
    <w:p>
      <w:pPr>
        <w:ind w:left="60" w:right="139" w:firstLine="441"/>
        <w:spacing w:after="0" w:line="259" w:lineRule="auto"/>
        <w:rPr>
          <w:sz w:val="20"/>
          <w:szCs w:val="20"/>
          <w:color w:val="auto"/>
        </w:rPr>
      </w:pPr>
      <w:r>
        <w:rPr>
          <w:rFonts w:ascii="Arial" w:cs="Arial" w:eastAsia="Arial" w:hAnsi="Arial"/>
          <w:sz w:val="18"/>
          <w:szCs w:val="18"/>
          <w:color w:val="auto"/>
        </w:rPr>
        <w:t>If we or our collaborators obtain regulatory approval to market and sell DEXTENZA in international markets, we expect to utilize a variety of types of collaboration, distribution and other marketing arrangements with one or more third parties to commercialize DEXTENZA. See “—Government Regulation—Review and Approval of Medical Devices in the European Union” for additional information.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ReSure Sealant</w:t>
      </w:r>
    </w:p>
    <w:p>
      <w:pPr>
        <w:spacing w:after="0" w:line="229" w:lineRule="exact"/>
        <w:rPr>
          <w:sz w:val="20"/>
          <w:szCs w:val="20"/>
          <w:color w:val="auto"/>
        </w:rPr>
      </w:pPr>
    </w:p>
    <w:p>
      <w:pPr>
        <w:ind w:left="60" w:right="159" w:firstLine="441"/>
        <w:spacing w:after="0" w:line="257" w:lineRule="auto"/>
        <w:rPr>
          <w:sz w:val="20"/>
          <w:szCs w:val="20"/>
          <w:color w:val="auto"/>
        </w:rPr>
      </w:pPr>
      <w:r>
        <w:rPr>
          <w:rFonts w:ascii="Arial" w:cs="Arial" w:eastAsia="Arial" w:hAnsi="Arial"/>
          <w:sz w:val="18"/>
          <w:szCs w:val="18"/>
          <w:color w:val="auto"/>
        </w:rPr>
        <w:t>ReSure Sealant is a topical liquid hydrogel that creates a temporary, adherent, soft and lubricious sealant to prevent post-surgical leakage from clear corneal incisions that are made during cataract surgery. The main components of ReSure hydrogel are water and PEG. ReSure hydrogel is completely synthetic, with no animal or human derived components. The FDA granted marketing approval for ReSure Sealant in January 2014. We commercially launched ReSure Sealant in the United States in February 2014.</w:t>
      </w:r>
    </w:p>
    <w:p>
      <w:pPr>
        <w:spacing w:after="0" w:line="188" w:lineRule="exact"/>
        <w:rPr>
          <w:sz w:val="20"/>
          <w:szCs w:val="20"/>
          <w:color w:val="auto"/>
        </w:rPr>
      </w:pPr>
    </w:p>
    <w:p>
      <w:pPr>
        <w:jc w:val="both"/>
        <w:ind w:left="60" w:right="259" w:firstLine="486"/>
        <w:spacing w:after="0" w:line="311" w:lineRule="auto"/>
        <w:rPr>
          <w:sz w:val="20"/>
          <w:szCs w:val="20"/>
          <w:color w:val="auto"/>
        </w:rPr>
      </w:pPr>
      <w:r>
        <w:rPr>
          <w:rFonts w:ascii="Arial" w:cs="Arial" w:eastAsia="Arial" w:hAnsi="Arial"/>
          <w:sz w:val="16"/>
          <w:szCs w:val="16"/>
          <w:color w:val="auto"/>
        </w:rPr>
        <w:t>ReSure Sealant provides a novel means of definitive wound closure in situations in which the surgeon observes a wound leak at the conclusion of surgery and/or would otherwise use sutures. We believe ReSure Sealant offers important benefits over sutures, including superior wound closure, a better safety profile and less follow-up.</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486"/>
        <w:spacing w:after="0" w:line="257" w:lineRule="auto"/>
        <w:rPr>
          <w:sz w:val="20"/>
          <w:szCs w:val="20"/>
          <w:color w:val="auto"/>
        </w:rPr>
      </w:pPr>
      <w:r>
        <w:rPr>
          <w:rFonts w:ascii="Arial" w:cs="Arial" w:eastAsia="Arial" w:hAnsi="Arial"/>
          <w:sz w:val="18"/>
          <w:szCs w:val="18"/>
          <w:color w:val="auto"/>
        </w:rPr>
        <w:t>The market opportunity for a surgical sealant following cataract surgery may be modest because sutures are used in a minority of cataract surgeries and, currently, there is no direct reimbursement for ReSure Sealant. While ReSure Sealant remains commercially available in the United States, there is no sales support and only limited commercial support for this product at this time. As a result, we do not expect to generate meaningful levels of revenue from the sale of ReSure Sealant.</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Product Design</w:t>
      </w:r>
    </w:p>
    <w:p>
      <w:pPr>
        <w:spacing w:after="0" w:line="225"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A surgeon forms ReSure Sealant hydrogel by combining three components: PEG, a cross-linker and a diluent buffer solution. The cross-linker interacts with the PEG molecules to form a molecular network that comprises the hydrogel. The components are mixed to initiate the cross-linking reaction to form a biocompatible, resorbable hydrogel. The hydrogel is approximately 90% water and is blue in color to help the surgeon visualize the sealant during application. The surgeon applies the sealant to the corneal incision as a liquid using a soft foam-tipped applicator. The sealant forms a conformal coating that adheres to the ocular tissue through mechanical interlocking of the hydrogel with the tissue surfaces. The blue color fades within a few hours following surgery. The soft, pliable hydrogel remains on the corneal surface during the critical wound healing period of one to three days and provides a barrier to fluid leakage. ReSure Sealant softens over time, detaches and is sloughed off in the tears as a liquid or extremely soft gel pieces. ReSure Sealant is designed to completely liquefy over a five to seven day duration. Complete epithelial healing takes place over this time period, providing long-term wound closure.</w:t>
      </w:r>
    </w:p>
    <w:p>
      <w:pPr>
        <w:spacing w:after="0" w:line="182" w:lineRule="exact"/>
        <w:rPr>
          <w:sz w:val="20"/>
          <w:szCs w:val="20"/>
          <w:color w:val="auto"/>
        </w:rPr>
      </w:pPr>
    </w:p>
    <w:p>
      <w:pPr>
        <w:ind w:left="60" w:right="259" w:firstLine="441"/>
        <w:spacing w:after="0" w:line="259" w:lineRule="auto"/>
        <w:rPr>
          <w:sz w:val="20"/>
          <w:szCs w:val="20"/>
          <w:color w:val="auto"/>
        </w:rPr>
      </w:pPr>
      <w:r>
        <w:rPr>
          <w:rFonts w:ascii="Arial" w:cs="Arial" w:eastAsia="Arial" w:hAnsi="Arial"/>
          <w:sz w:val="18"/>
          <w:szCs w:val="18"/>
          <w:color w:val="auto"/>
        </w:rPr>
        <w:t>We provide ReSure Sealant in a sterile, single patient use package. The package contains a tray with two elongated mixing wells. Each well contains dried deposits of reactants, separated within the well. The package also contains one plastic dropper bottle filled with diluent solution and two applicators. The device is stored at room temperature for easy access.</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ReSure Sealant Clinical Development</w:t>
      </w:r>
    </w:p>
    <w:p>
      <w:pPr>
        <w:spacing w:after="0" w:line="225" w:lineRule="exact"/>
        <w:rPr>
          <w:sz w:val="20"/>
          <w:szCs w:val="20"/>
          <w:color w:val="auto"/>
        </w:rPr>
      </w:pPr>
    </w:p>
    <w:p>
      <w:pPr>
        <w:ind w:left="60" w:right="99" w:firstLine="441"/>
        <w:spacing w:after="0" w:line="293" w:lineRule="auto"/>
        <w:rPr>
          <w:sz w:val="20"/>
          <w:szCs w:val="20"/>
          <w:color w:val="auto"/>
        </w:rPr>
      </w:pPr>
      <w:r>
        <w:rPr>
          <w:rFonts w:ascii="Arial" w:cs="Arial" w:eastAsia="Arial" w:hAnsi="Arial"/>
          <w:sz w:val="16"/>
          <w:szCs w:val="16"/>
          <w:color w:val="auto"/>
        </w:rPr>
        <w:t>We conducted a pivotal clinical trial evaluating the safety and effectiveness of ReSure Sealant compared to sutures for preventing incision leakage from clear corneal incisions. In connection with FDA approval of ReSure Sealant in January 2014, we have agreed to conduct two post-approval studies. The first post-approval registry study was designed to confirm whether ReSure Sealant can be used safely by physicians in a standard cataract surgery practice and to confirm the incidence of pre-specified adverse ocular events in eyes treated with ReSure Sealant. The second post-approval study is designed to ascertain the incidence of endophthalmitis in patients treated with ReSure Sealant.</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Pivotal Clinical Trial</w:t>
      </w:r>
    </w:p>
    <w:p>
      <w:pPr>
        <w:spacing w:after="0" w:line="225" w:lineRule="exact"/>
        <w:rPr>
          <w:sz w:val="20"/>
          <w:szCs w:val="20"/>
          <w:color w:val="auto"/>
        </w:rPr>
      </w:pPr>
    </w:p>
    <w:p>
      <w:pPr>
        <w:ind w:left="60" w:right="299" w:firstLine="441"/>
        <w:spacing w:after="0" w:line="272" w:lineRule="auto"/>
        <w:rPr>
          <w:sz w:val="20"/>
          <w:szCs w:val="20"/>
          <w:color w:val="auto"/>
        </w:rPr>
      </w:pPr>
      <w:r>
        <w:rPr>
          <w:rFonts w:ascii="Arial" w:cs="Arial" w:eastAsia="Arial" w:hAnsi="Arial"/>
          <w:sz w:val="17"/>
          <w:szCs w:val="17"/>
          <w:color w:val="auto"/>
        </w:rPr>
        <w:t>In 2013, we completed a prospective, randomized, parallel-arm, controlled, multicenter, subject-masked pivotal clinical trial evaluating the safety and effectiveness of ReSure Sealant. In this trial, we enrolled 488 patients at 24 sites across the United States. One patient was excluded prior to treatment because the surgeon was unable to achieve a dry ocular surface for application of ReSure Sealant. As a result, we randomized 304 patients for treatment with ReSure Sealant and 183 patients for treatment with sutures. Based on the trial protocol, 295 patients treated with ReSure Sealant and 176 patients treated with sutures completed study follow-up without a significant protocol deviation that directly affected the primary efficacy endpoint.</w:t>
      </w:r>
    </w:p>
    <w:p>
      <w:pPr>
        <w:spacing w:after="0" w:line="177" w:lineRule="exact"/>
        <w:rPr>
          <w:sz w:val="20"/>
          <w:szCs w:val="20"/>
          <w:color w:val="auto"/>
        </w:rPr>
      </w:pPr>
    </w:p>
    <w:p>
      <w:pPr>
        <w:ind w:left="60" w:right="99" w:firstLine="441"/>
        <w:spacing w:after="0" w:line="257" w:lineRule="auto"/>
        <w:rPr>
          <w:sz w:val="20"/>
          <w:szCs w:val="20"/>
          <w:color w:val="auto"/>
        </w:rPr>
      </w:pPr>
      <w:r>
        <w:rPr>
          <w:rFonts w:ascii="Arial" w:cs="Arial" w:eastAsia="Arial" w:hAnsi="Arial"/>
          <w:sz w:val="18"/>
          <w:szCs w:val="18"/>
          <w:color w:val="auto"/>
        </w:rPr>
        <w:t>The primary efficacy endpoint was non-inferiority of ReSure Sealant to sutures for preventing incision leakage from clear corneal incisions within the first seven days following cataract surgery. A non-inferiority determination requires that the test product is not worse than the comparator by more than a small pre-specified margin. The non-inferiority margin for the ReSure Sealant pivotal clinical trial was a percentage difference in leak rates between ReSure Sealant and sutures of 5%.</w:t>
      </w:r>
    </w:p>
    <w:p>
      <w:pPr>
        <w:spacing w:after="0" w:line="188"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We randomized patients in a 5:3 ratio to receive either ReSure Sealant or sutures. All patients received a standardized self-sealing incision.</w:t>
      </w:r>
    </w:p>
    <w:p>
      <w:pPr>
        <w:spacing w:after="0" w:line="170" w:lineRule="exact"/>
        <w:rPr>
          <w:sz w:val="20"/>
          <w:szCs w:val="20"/>
          <w:color w:val="auto"/>
        </w:rPr>
      </w:pPr>
    </w:p>
    <w:p>
      <w:pPr>
        <w:ind w:left="60" w:right="239" w:firstLine="441"/>
        <w:spacing w:after="0" w:line="301" w:lineRule="auto"/>
        <w:rPr>
          <w:sz w:val="20"/>
          <w:szCs w:val="20"/>
          <w:color w:val="auto"/>
        </w:rPr>
      </w:pPr>
      <w:r>
        <w:rPr>
          <w:rFonts w:ascii="Arial" w:cs="Arial" w:eastAsia="Arial" w:hAnsi="Arial"/>
          <w:sz w:val="16"/>
          <w:szCs w:val="16"/>
          <w:color w:val="auto"/>
        </w:rPr>
        <w:t>Surgeons assessed incision leakage during the operation and during follow-up visits on days 1, 3, 7 and 28 after the procedure. During the pre-randomization intraoperative evaluation, the surgeons assessed whether there was any leakage based on a standard test called a Seidel test in conjunction with an application of force near the incision using a standardized tool and technique. The surgeon slowly applied force using the standardized tool that we provided until a</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leak was observed or until a pre-specified maximum force of one ounce of force was reached. In the assessments conducted during the operation, approximately 50% of leaks occurred spontaneously without application of force and 76% of leaks occurred with the application of 0.25 ounces of force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125730</wp:posOffset>
            </wp:positionV>
            <wp:extent cx="1937385" cy="19545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3738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right="139" w:firstLine="441"/>
        <w:spacing w:after="0" w:line="257" w:lineRule="auto"/>
        <w:rPr>
          <w:sz w:val="20"/>
          <w:szCs w:val="20"/>
          <w:color w:val="auto"/>
        </w:rPr>
      </w:pPr>
      <w:r>
        <w:rPr>
          <w:rFonts w:ascii="Arial" w:cs="Arial" w:eastAsia="Arial" w:hAnsi="Arial"/>
          <w:sz w:val="18"/>
          <w:szCs w:val="18"/>
          <w:color w:val="auto"/>
        </w:rPr>
        <w:t>Based on assessments conducted immediately following surgery, using the same standardized leak testing tool and technique, eyes receiving sutures leaked more frequently than eyes sealed with ReSure Sealant by a statistically significant margin of more than 8 to 1 (p&lt;0.0001). In this trial, ReSure Sealant demonstrated both non-inferiority and superiority relative to the suture control based on the proportion of eyes with leakage within the first seven days after surgery. These results are shown in the figures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1917065</wp:posOffset>
            </wp:positionH>
            <wp:positionV relativeFrom="paragraph">
              <wp:posOffset>128270</wp:posOffset>
            </wp:positionV>
            <wp:extent cx="1894205" cy="18516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9420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right="119" w:firstLine="441"/>
        <w:spacing w:after="0" w:line="269" w:lineRule="auto"/>
        <w:rPr>
          <w:sz w:val="20"/>
          <w:szCs w:val="20"/>
          <w:color w:val="auto"/>
        </w:rPr>
      </w:pPr>
      <w:r>
        <w:rPr>
          <w:rFonts w:ascii="Arial" w:cs="Arial" w:eastAsia="Arial" w:hAnsi="Arial"/>
          <w:sz w:val="17"/>
          <w:szCs w:val="17"/>
          <w:color w:val="auto"/>
        </w:rPr>
        <w:t>ReSure Sealant treated patients had significantly lower adverse event and device-related adverse event rates than patients treated with suture wound closure. We determined statistical significance based on a widely used, conventional statistical method that establishes the p-value of clinical results. Typically, a p-value of 0.05 or less represents statistical significance. In adverse events related to the study device, ReSure Sealant had a lower occurrence rate by a statistically significant margin of 1.6% for ReSure Sealant compared to 30.6% for sutures (p&lt;0.0001). There were no significant or clinically relevant differences in the other safety endpoints, including slit lamp examination findings, between ReSure Sealant and suture patients, thus indicating that ReSure Sealant is well tolerated. Only one ReSure Sealant treated patient out of 299 (0.3%) had a wound healing assessment characterized as outside of normal limits at the day 7 assessment due to the presence of mild stromal edema. No ReSure Sealant treated subjects were outside of normal limits at the day 28 assessment. In this trial, surgeons rated ReSure Sealant as “easy” or “very easy” to use for 94.1% of patients treated with ReSure Sealant.</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Post-Approval Studies</w:t>
      </w:r>
    </w:p>
    <w:p>
      <w:pPr>
        <w:spacing w:after="0" w:line="225" w:lineRule="exact"/>
        <w:rPr>
          <w:sz w:val="20"/>
          <w:szCs w:val="20"/>
          <w:color w:val="auto"/>
        </w:rPr>
      </w:pPr>
    </w:p>
    <w:p>
      <w:pPr>
        <w:ind w:left="60" w:right="339" w:firstLine="441"/>
        <w:spacing w:after="0" w:line="342" w:lineRule="auto"/>
        <w:rPr>
          <w:sz w:val="20"/>
          <w:szCs w:val="20"/>
          <w:color w:val="auto"/>
        </w:rPr>
      </w:pPr>
      <w:r>
        <w:rPr>
          <w:rFonts w:ascii="Arial" w:cs="Arial" w:eastAsia="Arial" w:hAnsi="Arial"/>
          <w:sz w:val="16"/>
          <w:szCs w:val="16"/>
          <w:color w:val="auto"/>
        </w:rPr>
        <w:t>ReSure Sealant is classified in the United States as a class III medical device subject to the rules and regulation of premarket approval by the FDA. Following our submission of a PMA application to the FDA for review and during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review process, the FDA completed compliance audits of our manufacturing facility and several of our pivotal clinical trial sites. Before granting approval of the PMA application, the FDA sought input from the Ophthalmic Devices Advisory Committee, a panel of physicians charged with reviewing results from our pivotal clinical trial. The FDA approved our PMA application for ReSure Sealant in January 2014.</w:t>
      </w:r>
    </w:p>
    <w:p>
      <w:pPr>
        <w:spacing w:after="0" w:line="187" w:lineRule="exact"/>
        <w:rPr>
          <w:sz w:val="20"/>
          <w:szCs w:val="20"/>
          <w:color w:val="auto"/>
        </w:rPr>
      </w:pPr>
    </w:p>
    <w:p>
      <w:pPr>
        <w:ind w:left="60" w:right="159" w:firstLine="441"/>
        <w:spacing w:after="0" w:line="296" w:lineRule="auto"/>
        <w:rPr>
          <w:sz w:val="20"/>
          <w:szCs w:val="20"/>
          <w:color w:val="auto"/>
        </w:rPr>
      </w:pPr>
      <w:r>
        <w:rPr>
          <w:rFonts w:ascii="Arial" w:cs="Arial" w:eastAsia="Arial" w:hAnsi="Arial"/>
          <w:sz w:val="16"/>
          <w:szCs w:val="16"/>
          <w:color w:val="auto"/>
        </w:rPr>
        <w:t>The FDA required two post-approval studies as a condition for approval of our premarket approval, or PMA, application for ReSure Sealant. The first post-approval study, identified as the Clinical PAS, was to confirm that ReSure Sealant can be used safely by physicians in a standard cataract surgery practice and to confirm the incidence of the most prevalent adverse ocular events identified in our pivotal study in eyes treated with ReSure Sealant. We submitted the final study report to the FDA in June 2016 and the FDA has confirmed the Clinical PAS has been completed.</w:t>
      </w:r>
    </w:p>
    <w:p>
      <w:pPr>
        <w:spacing w:after="0" w:line="161" w:lineRule="exact"/>
        <w:rPr>
          <w:sz w:val="20"/>
          <w:szCs w:val="20"/>
          <w:color w:val="auto"/>
        </w:rPr>
      </w:pPr>
    </w:p>
    <w:p>
      <w:pPr>
        <w:ind w:left="60" w:right="99" w:firstLine="441"/>
        <w:spacing w:after="0" w:line="291" w:lineRule="auto"/>
        <w:rPr>
          <w:sz w:val="20"/>
          <w:szCs w:val="20"/>
          <w:color w:val="auto"/>
        </w:rPr>
      </w:pPr>
      <w:r>
        <w:rPr>
          <w:rFonts w:ascii="Arial" w:cs="Arial" w:eastAsia="Arial" w:hAnsi="Arial"/>
          <w:sz w:val="16"/>
          <w:szCs w:val="16"/>
          <w:color w:val="auto"/>
        </w:rPr>
        <w:t>The second post-approval study, which we refer to as the Device Exposure Registry Study, was a retrospective analysis of the IRIS Registry, comparing endophthalmitis rates from sites that purchased ReSure Sealant versus those sites that did not. We completed the retrospective study in accordance with our agreement with the FDA and submitted the final study report for the Device Exposure Registry Study to the FDA in January 2021. We anticipate that the FDA will review the report within 90 days of our submission and notify us as to whether our obligation to conduct the post-approval study has been satisfied. Failure by us to conduct the required post-approval trial for ReSure Sealant to the FDA’s satisfaction may result in withdrawal of the FDA’s approval of ReSure Sealant or other regulatory action.</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Foreign Approvals</w:t>
      </w:r>
    </w:p>
    <w:p>
      <w:pPr>
        <w:spacing w:after="0" w:line="225" w:lineRule="exact"/>
        <w:rPr>
          <w:sz w:val="20"/>
          <w:szCs w:val="20"/>
          <w:color w:val="auto"/>
        </w:rPr>
      </w:pPr>
    </w:p>
    <w:p>
      <w:pPr>
        <w:ind w:left="60" w:right="119" w:firstLine="441"/>
        <w:spacing w:after="0" w:line="269" w:lineRule="auto"/>
        <w:rPr>
          <w:sz w:val="20"/>
          <w:szCs w:val="20"/>
          <w:color w:val="auto"/>
        </w:rPr>
      </w:pPr>
      <w:r>
        <w:rPr>
          <w:rFonts w:ascii="Arial" w:cs="Arial" w:eastAsia="Arial" w:hAnsi="Arial"/>
          <w:sz w:val="17"/>
          <w:szCs w:val="17"/>
          <w:color w:val="auto"/>
        </w:rPr>
        <w:t>Outside the United States, we plan to assess whether to seek regulatory approval for ReSure Sealant in markets such as the European Union, Australia and Japan based on the market opportunity, particularly pricing, and the requirements for marketing approval. Given our prioritization of the clinical development of our sustained-release product candidates and our planned commercialization efforts for our initial intracanalicular insert product candidates in the United States, we do not currently plan to seek CE Mark approval to commercialize ReSure Sealant in the European Union. Outside of the United States and the European Union, we will need to engage a third party to assist us in the approval process. If we obtain regulatory approval to market and sell ReSure Sealant in international markets, we expect to utilize a variety of types of collaboration, distribution and other marketing arrangements with one or more third parties to commercialize ReSure Sealant. See “—Government Regulation—Review and Approval of Medical Devices in the European Union” for additional information.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Marketing and Distribution</w:t>
      </w:r>
    </w:p>
    <w:p>
      <w:pPr>
        <w:spacing w:after="0" w:line="229" w:lineRule="exact"/>
        <w:rPr>
          <w:sz w:val="20"/>
          <w:szCs w:val="20"/>
          <w:color w:val="auto"/>
        </w:rPr>
      </w:pPr>
    </w:p>
    <w:p>
      <w:pPr>
        <w:ind w:left="60" w:right="139" w:firstLine="441"/>
        <w:spacing w:after="0" w:line="271" w:lineRule="auto"/>
        <w:rPr>
          <w:sz w:val="20"/>
          <w:szCs w:val="20"/>
          <w:color w:val="auto"/>
        </w:rPr>
      </w:pPr>
      <w:r>
        <w:rPr>
          <w:rFonts w:ascii="Arial" w:cs="Arial" w:eastAsia="Arial" w:hAnsi="Arial"/>
          <w:sz w:val="17"/>
          <w:szCs w:val="17"/>
          <w:color w:val="auto"/>
        </w:rPr>
        <w:t>We plan to prioritize our commercialization efforts in the United States. We generally expect to retain commercial rights in the United States to any of our local programmed-release drug delivery product candidates for front-of-the-eye diseases and conditions for which we may receive marketing approvals and which we believe we can successfully commercialize. In general, if we receive approval to market any of our product candidates in the United States, we plan to then evaluate the regulatory approval requirements and commercial potential for any such product candidate in Europe, Japan and other selected geographies. If we decide to commercialize our products outside of the United States, we expect to utilize a variety of types of collaboration, distribution and other marketing arrangements with one or more third parties to commercialize any product of ours that receives marketing approval.</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ReSure Sealant</w:t>
      </w:r>
    </w:p>
    <w:p>
      <w:pPr>
        <w:spacing w:after="0" w:line="225" w:lineRule="exact"/>
        <w:rPr>
          <w:sz w:val="20"/>
          <w:szCs w:val="20"/>
          <w:color w:val="auto"/>
        </w:rPr>
      </w:pPr>
    </w:p>
    <w:p>
      <w:pPr>
        <w:ind w:left="60" w:right="139" w:firstLine="441"/>
        <w:spacing w:after="0" w:line="259" w:lineRule="auto"/>
        <w:rPr>
          <w:sz w:val="20"/>
          <w:szCs w:val="20"/>
          <w:color w:val="auto"/>
        </w:rPr>
      </w:pPr>
      <w:r>
        <w:rPr>
          <w:rFonts w:ascii="Arial" w:cs="Arial" w:eastAsia="Arial" w:hAnsi="Arial"/>
          <w:sz w:val="18"/>
          <w:szCs w:val="18"/>
          <w:color w:val="auto"/>
        </w:rPr>
        <w:t>We commercially launched ReSure Sealant in the United States in February 2014. While ReSure Sealant remains commercially available in the United States, there is no sales support and only modest commercial support for this product at this time. We may decide to actively promote ReSure Sealant in the future with the current sales force that supports DEXTENZA.</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DEXTENZA</w:t>
      </w:r>
    </w:p>
    <w:p>
      <w:pPr>
        <w:spacing w:after="0" w:line="225" w:lineRule="exact"/>
        <w:rPr>
          <w:sz w:val="20"/>
          <w:szCs w:val="20"/>
          <w:color w:val="auto"/>
        </w:rPr>
      </w:pPr>
    </w:p>
    <w:p>
      <w:pPr>
        <w:ind w:left="60" w:right="159" w:firstLine="441"/>
        <w:spacing w:after="0" w:line="257" w:lineRule="auto"/>
        <w:rPr>
          <w:sz w:val="20"/>
          <w:szCs w:val="20"/>
          <w:color w:val="auto"/>
        </w:rPr>
      </w:pPr>
      <w:r>
        <w:rPr>
          <w:rFonts w:ascii="Arial" w:cs="Arial" w:eastAsia="Arial" w:hAnsi="Arial"/>
          <w:sz w:val="18"/>
          <w:szCs w:val="18"/>
          <w:color w:val="auto"/>
        </w:rPr>
        <w:t>We sell DEXTENZA in the United States to a network of specialty distributors, who then resell DEXTENZA to ASCs and hospital outpatient departments, or HOPDs. In connection with our commercial launch of DEXTENZA, we have built a highly targeted, key account sales force that focuses on the ASCs responsible for the largest volumes of cataract surgery in the United States and their affiliates, with an initial emphasis on the approximately two million cataract procedures performed annually under Medicare Part B.</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441"/>
        <w:spacing w:after="0" w:line="259" w:lineRule="auto"/>
        <w:rPr>
          <w:sz w:val="20"/>
          <w:szCs w:val="20"/>
          <w:color w:val="auto"/>
        </w:rPr>
      </w:pPr>
      <w:r>
        <w:rPr>
          <w:rFonts w:ascii="Arial" w:cs="Arial" w:eastAsia="Arial" w:hAnsi="Arial"/>
          <w:sz w:val="18"/>
          <w:szCs w:val="18"/>
          <w:color w:val="auto"/>
        </w:rPr>
        <w:t>We expect to grow our salesforce in 2021 to increase our active number of accounts and penetrate each account more deeply. Our current field sales team consists of approximately 30 key account managers, or KAMs; nine Field Reimbursement Managers, or FRMs; and three Regional Directors, or RDs. We intend to add up to six KAMs and up to two FRMs, and we may add one RD, during the course of 2021.</w:t>
      </w:r>
    </w:p>
    <w:p>
      <w:pPr>
        <w:spacing w:after="0" w:line="187" w:lineRule="exact"/>
        <w:rPr>
          <w:sz w:val="20"/>
          <w:szCs w:val="20"/>
          <w:color w:val="auto"/>
        </w:rPr>
      </w:pPr>
    </w:p>
    <w:p>
      <w:pPr>
        <w:ind w:left="60" w:right="1379" w:firstLine="441"/>
        <w:spacing w:after="0" w:line="308" w:lineRule="auto"/>
        <w:rPr>
          <w:sz w:val="20"/>
          <w:szCs w:val="20"/>
          <w:color w:val="auto"/>
        </w:rPr>
      </w:pPr>
      <w:r>
        <w:rPr>
          <w:rFonts w:ascii="Arial" w:cs="Arial" w:eastAsia="Arial" w:hAnsi="Arial"/>
          <w:sz w:val="17"/>
          <w:szCs w:val="17"/>
          <w:color w:val="auto"/>
        </w:rPr>
        <w:t>We have entered into a license agreement and collaboration with AffaMed for the development and commercialization of DEXTENZA, along with OTX-TIC, in specified Asian markets.</w:t>
      </w:r>
    </w:p>
    <w:p>
      <w:pPr>
        <w:spacing w:after="0" w:line="146" w:lineRule="exact"/>
        <w:rPr>
          <w:sz w:val="20"/>
          <w:szCs w:val="20"/>
          <w:color w:val="auto"/>
        </w:rPr>
      </w:pPr>
    </w:p>
    <w:p>
      <w:pPr>
        <w:ind w:left="60" w:right="239" w:firstLine="441"/>
        <w:spacing w:after="0" w:line="255" w:lineRule="auto"/>
        <w:rPr>
          <w:sz w:val="20"/>
          <w:szCs w:val="20"/>
          <w:color w:val="auto"/>
        </w:rPr>
      </w:pPr>
      <w:r>
        <w:rPr>
          <w:rFonts w:ascii="Arial" w:cs="Arial" w:eastAsia="Arial" w:hAnsi="Arial"/>
          <w:sz w:val="18"/>
          <w:szCs w:val="18"/>
          <w:color w:val="auto"/>
        </w:rPr>
        <w:t>If our sNDA to include the treatment of ocular itching associated with allergic conjunctivitis as an additional approved indication for DEXTENZA is approved, we expect to launch DEXTENZA for that indication in the first half of 2022. We expect initially to support the launch of DEXTENZA for this indication with our existing field force given the high degree of overlap between surgeons performing cataract surgery and those that treat severe allergic conjunctivitis. Following launch, we will consider the potential need for additional resources that may be required to support continued commercialization.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60" w:right="179" w:firstLine="441"/>
        <w:spacing w:after="0" w:line="293" w:lineRule="auto"/>
        <w:rPr>
          <w:sz w:val="20"/>
          <w:szCs w:val="20"/>
          <w:color w:val="auto"/>
        </w:rPr>
      </w:pPr>
      <w:r>
        <w:rPr>
          <w:rFonts w:ascii="Arial" w:cs="Arial" w:eastAsia="Arial" w:hAnsi="Arial"/>
          <w:sz w:val="16"/>
          <w:szCs w:val="16"/>
          <w:color w:val="auto"/>
        </w:rPr>
        <w:t>We fabricate devices and drug products for use in our clinical trials, research and development and commercial efforts for all of our therapeutic product candidates using current Good Manufacturing Practices, or cGMP, at our facility located in Bedford, Massachusetts. In June 2016, we entered into a new lease agreement for approximately 71,000 square feet of a new facility in Bedford, Massachusetts that will include additional manufacturing space. We are evaluating the potential relocation of our manufacturing operations to the new leased premises. We plan to maintain our existing manufacturing space of approximately 20,000 square feet and extended the operating lease until June 2023.</w:t>
      </w:r>
    </w:p>
    <w:p>
      <w:pPr>
        <w:spacing w:after="0" w:line="164" w:lineRule="exact"/>
        <w:rPr>
          <w:sz w:val="20"/>
          <w:szCs w:val="20"/>
          <w:color w:val="auto"/>
        </w:rPr>
      </w:pPr>
    </w:p>
    <w:p>
      <w:pPr>
        <w:ind w:left="60" w:right="99" w:firstLine="441"/>
        <w:spacing w:after="0" w:line="255" w:lineRule="auto"/>
        <w:rPr>
          <w:sz w:val="20"/>
          <w:szCs w:val="20"/>
          <w:color w:val="auto"/>
        </w:rPr>
      </w:pPr>
      <w:r>
        <w:rPr>
          <w:rFonts w:ascii="Arial" w:cs="Arial" w:eastAsia="Arial" w:hAnsi="Arial"/>
          <w:sz w:val="18"/>
          <w:szCs w:val="18"/>
          <w:color w:val="auto"/>
        </w:rPr>
        <w:t>We purchase active pharmaceutical ingredient drug substance from independent suppliers on a purchase order basis for incorporation into our drug product candidates. We purchase our PEG and other raw materials from different vendors on a purchase order basis according to our specifications. Multiple vendors are available for each component we purchase. We qualify vendors according to our quality system requirements. We do not have any long term supply agreements in place for any raw materials or drug substances. We do not license any technology or pay any royalties to any of our drug or raw material vendors for the front-of-the-eye products.</w:t>
      </w:r>
    </w:p>
    <w:p>
      <w:pPr>
        <w:spacing w:after="0" w:line="192" w:lineRule="exact"/>
        <w:rPr>
          <w:sz w:val="20"/>
          <w:szCs w:val="20"/>
          <w:color w:val="auto"/>
        </w:rPr>
      </w:pPr>
    </w:p>
    <w:p>
      <w:pPr>
        <w:ind w:left="60" w:right="179" w:firstLine="441"/>
        <w:spacing w:after="0" w:line="279" w:lineRule="auto"/>
        <w:rPr>
          <w:sz w:val="20"/>
          <w:szCs w:val="20"/>
          <w:color w:val="auto"/>
        </w:rPr>
      </w:pPr>
      <w:r>
        <w:rPr>
          <w:rFonts w:ascii="Arial" w:cs="Arial" w:eastAsia="Arial" w:hAnsi="Arial"/>
          <w:sz w:val="17"/>
          <w:szCs w:val="17"/>
          <w:color w:val="auto"/>
        </w:rPr>
        <w:t>We believe that our strategic investment in manufacturing capabilities allows us to advance product candidates at a more rapid pace and with more flexibility than a contract manufacturer, although we will continue to evaluate outsourcing unit operations for cost advantages. Our manufacturing capability also enables us to produce products in a cost-effective manner while retaining control over the process and prioritize the timing of internal programs.</w:t>
      </w:r>
    </w:p>
    <w:p>
      <w:pPr>
        <w:spacing w:after="0" w:line="171" w:lineRule="exact"/>
        <w:rPr>
          <w:sz w:val="20"/>
          <w:szCs w:val="20"/>
          <w:color w:val="auto"/>
        </w:rPr>
      </w:pPr>
    </w:p>
    <w:p>
      <w:pPr>
        <w:ind w:left="60" w:right="399" w:firstLine="441"/>
        <w:spacing w:after="0" w:line="257" w:lineRule="auto"/>
        <w:rPr>
          <w:sz w:val="20"/>
          <w:szCs w:val="20"/>
          <w:color w:val="auto"/>
        </w:rPr>
      </w:pPr>
      <w:r>
        <w:rPr>
          <w:rFonts w:ascii="Arial" w:cs="Arial" w:eastAsia="Arial" w:hAnsi="Arial"/>
          <w:sz w:val="18"/>
          <w:szCs w:val="18"/>
          <w:color w:val="auto"/>
        </w:rPr>
        <w:t>Our manufacturing capabilities encompass the full manufacturing process through quality control and quality assurance and are integrated with our project teams from discovery through development and commercial release. This structure enables us to efficiently transfer research stage product concepts into manufacturing. We have designed our manufacturing facility and processes to provide flexibility for the manufacture of different product candidates. We outsource sterilization services for our products.</w:t>
      </w:r>
    </w:p>
    <w:p>
      <w:pPr>
        <w:spacing w:after="0" w:line="188" w:lineRule="exact"/>
        <w:rPr>
          <w:sz w:val="20"/>
          <w:szCs w:val="20"/>
          <w:color w:val="auto"/>
        </w:rPr>
      </w:pPr>
    </w:p>
    <w:p>
      <w:pPr>
        <w:ind w:left="60" w:right="179" w:firstLine="441"/>
        <w:spacing w:after="0" w:line="342" w:lineRule="auto"/>
        <w:rPr>
          <w:sz w:val="20"/>
          <w:szCs w:val="20"/>
          <w:color w:val="auto"/>
        </w:rPr>
      </w:pPr>
      <w:r>
        <w:rPr>
          <w:rFonts w:ascii="Arial" w:cs="Arial" w:eastAsia="Arial" w:hAnsi="Arial"/>
          <w:sz w:val="16"/>
          <w:szCs w:val="16"/>
          <w:color w:val="auto"/>
        </w:rPr>
        <w:t>We believe that we can scale our manufacturing processes to support DEXTENZA and ReSure Sealant sales as well as development of our drug product candidates and the potential commercialization of such product candidates.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239" w:firstLine="441"/>
        <w:spacing w:after="0" w:line="279" w:lineRule="auto"/>
        <w:rPr>
          <w:sz w:val="20"/>
          <w:szCs w:val="20"/>
          <w:color w:val="auto"/>
        </w:rPr>
      </w:pPr>
      <w:r>
        <w:rPr>
          <w:rFonts w:ascii="Arial" w:cs="Arial" w:eastAsia="Arial" w:hAnsi="Arial"/>
          <w:sz w:val="17"/>
          <w:szCs w:val="17"/>
          <w:color w:val="auto"/>
        </w:rPr>
        <w:t>Our success depends in part on our ability to obtain and maintain proprietary protection for our products, product candidates, technology and know-how, to operate without infringing the proprietary rights of others and to prevent others from infringing our proprietary rights. We rely on patent protection, trade secrets, know-how, continuing technological innovation and in-licensing opportunities to develop and maintain our proprietary position.</w:t>
      </w:r>
    </w:p>
    <w:p>
      <w:pPr>
        <w:spacing w:after="0" w:line="171" w:lineRule="exact"/>
        <w:rPr>
          <w:sz w:val="20"/>
          <w:szCs w:val="20"/>
          <w:color w:val="auto"/>
        </w:rPr>
      </w:pPr>
    </w:p>
    <w:p>
      <w:pPr>
        <w:ind w:left="60" w:right="139" w:firstLine="441"/>
        <w:spacing w:after="0" w:line="259" w:lineRule="auto"/>
        <w:rPr>
          <w:sz w:val="20"/>
          <w:szCs w:val="20"/>
          <w:color w:val="auto"/>
        </w:rPr>
      </w:pPr>
      <w:r>
        <w:rPr>
          <w:rFonts w:ascii="Arial" w:cs="Arial" w:eastAsia="Arial" w:hAnsi="Arial"/>
          <w:sz w:val="18"/>
          <w:szCs w:val="18"/>
          <w:color w:val="auto"/>
        </w:rPr>
        <w:t>We actively protect our innovations by seeking patents and other forms of intellectual property to cover our inventions. We also seek to in-license and acquire intellectual property to provide additional protection. As a result, we have patents and/or patent applications pending for all of our commercial products and product candidates, as well as trade secrets to protect proprietary manufacturing processes.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441"/>
        <w:spacing w:after="0" w:line="259" w:lineRule="auto"/>
        <w:rPr>
          <w:sz w:val="20"/>
          <w:szCs w:val="20"/>
          <w:color w:val="auto"/>
        </w:rPr>
      </w:pPr>
      <w:r>
        <w:rPr>
          <w:rFonts w:ascii="Arial" w:cs="Arial" w:eastAsia="Arial" w:hAnsi="Arial"/>
          <w:sz w:val="18"/>
          <w:szCs w:val="18"/>
          <w:color w:val="auto"/>
        </w:rPr>
        <w:t>Several patents and applications have been in-licensed from Incept. The license from Incept is limited to the fields of human ophthalmic diseases and conditions, acute post-surgical pain and ear, nose and/or throat diseases or conditions. As of February 26, 2021, we have licensed from Incept a total of 16 U.S. patents, 8 U.S. patent applications and foreign counterparts of some of these patents and patent applications.</w:t>
      </w:r>
    </w:p>
    <w:p>
      <w:pPr>
        <w:spacing w:after="0" w:line="187" w:lineRule="exact"/>
        <w:rPr>
          <w:sz w:val="20"/>
          <w:szCs w:val="20"/>
          <w:color w:val="auto"/>
        </w:rPr>
      </w:pPr>
    </w:p>
    <w:p>
      <w:pPr>
        <w:ind w:left="60" w:right="319" w:firstLine="441"/>
        <w:spacing w:after="0" w:line="277" w:lineRule="auto"/>
        <w:rPr>
          <w:sz w:val="20"/>
          <w:szCs w:val="20"/>
          <w:color w:val="auto"/>
        </w:rPr>
      </w:pPr>
      <w:r>
        <w:rPr>
          <w:rFonts w:ascii="Arial" w:cs="Arial" w:eastAsia="Arial" w:hAnsi="Arial"/>
          <w:sz w:val="18"/>
          <w:szCs w:val="18"/>
          <w:color w:val="auto"/>
        </w:rPr>
        <w:t>The following is a summary of patents and patent applications that cover our commercial products and potentially cover our product candidates: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OTX-TKI (axitinib intravitreal implant) for Wet AMD, DME and RVO</w:t>
      </w:r>
    </w:p>
    <w:p>
      <w:pPr>
        <w:spacing w:after="0" w:line="225" w:lineRule="exact"/>
        <w:rPr>
          <w:sz w:val="20"/>
          <w:szCs w:val="20"/>
          <w:color w:val="auto"/>
        </w:rPr>
      </w:pPr>
    </w:p>
    <w:p>
      <w:pPr>
        <w:ind w:left="60" w:right="159" w:firstLine="441"/>
        <w:spacing w:after="0" w:line="293" w:lineRule="auto"/>
        <w:rPr>
          <w:sz w:val="20"/>
          <w:szCs w:val="20"/>
          <w:color w:val="auto"/>
        </w:rPr>
      </w:pPr>
      <w:r>
        <w:rPr>
          <w:rFonts w:ascii="Arial" w:cs="Arial" w:eastAsia="Arial" w:hAnsi="Arial"/>
          <w:sz w:val="16"/>
          <w:szCs w:val="16"/>
          <w:color w:val="auto"/>
        </w:rPr>
        <w:t>We have licenses to several U.S. patents and patent applications with the potential to cover this product candidate: three U.S. patents and issued patents in Australia, the European Union and Japan covering certain drug-release features of the hydrogel implant in combination with its hydrogel composition, all of which are expected to expire in 2027; two granted U.S. patents which are expected to expire in 2033 and 2034; and issued patents in Australia, Canada, China, Hong Kong, the European Union, India, Japan and South Korea covering the process of making the hydrogel implant with its drug release features and the resultant compositions that are expected to expire in 2032.</w:t>
      </w:r>
    </w:p>
    <w:p>
      <w:pPr>
        <w:spacing w:after="0" w:line="164" w:lineRule="exact"/>
        <w:rPr>
          <w:sz w:val="20"/>
          <w:szCs w:val="20"/>
          <w:color w:val="auto"/>
        </w:rPr>
      </w:pPr>
    </w:p>
    <w:p>
      <w:pPr>
        <w:ind w:left="60" w:right="319" w:firstLine="441"/>
        <w:spacing w:after="0" w:line="277" w:lineRule="auto"/>
        <w:rPr>
          <w:sz w:val="20"/>
          <w:szCs w:val="20"/>
          <w:color w:val="auto"/>
        </w:rPr>
      </w:pPr>
      <w:r>
        <w:rPr>
          <w:rFonts w:ascii="Arial" w:cs="Arial" w:eastAsia="Arial" w:hAnsi="Arial"/>
          <w:sz w:val="18"/>
          <w:szCs w:val="18"/>
          <w:color w:val="auto"/>
        </w:rPr>
        <w:t>We own a pending patent application in the United States with the potential to cover this product candidate that, if granted, is expected to expire in 2041.</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OTX-TIC (travoprost intracameral implant) for glaucoma or ocular hypertension</w:t>
      </w:r>
    </w:p>
    <w:p>
      <w:pPr>
        <w:spacing w:after="0" w:line="225" w:lineRule="exact"/>
        <w:rPr>
          <w:sz w:val="20"/>
          <w:szCs w:val="20"/>
          <w:color w:val="auto"/>
        </w:rPr>
      </w:pPr>
    </w:p>
    <w:p>
      <w:pPr>
        <w:jc w:val="both"/>
        <w:ind w:left="60" w:right="79" w:firstLine="441"/>
        <w:spacing w:after="0" w:line="263" w:lineRule="auto"/>
        <w:rPr>
          <w:sz w:val="20"/>
          <w:szCs w:val="20"/>
          <w:color w:val="auto"/>
        </w:rPr>
      </w:pPr>
      <w:r>
        <w:rPr>
          <w:rFonts w:ascii="Arial" w:cs="Arial" w:eastAsia="Arial" w:hAnsi="Arial"/>
          <w:sz w:val="18"/>
          <w:szCs w:val="18"/>
          <w:color w:val="auto"/>
        </w:rPr>
        <w:t>We have licenses to a pending U.S. application and foreign patent applications pending in Australia, Brazil, Canada, China, the European Union, Israel, India, Japan and Korea that potentially cover this product candidates that, if granted, are expected to expire in 2037.</w:t>
      </w:r>
    </w:p>
    <w:p>
      <w:pPr>
        <w:spacing w:after="0" w:line="184" w:lineRule="exact"/>
        <w:rPr>
          <w:sz w:val="20"/>
          <w:szCs w:val="20"/>
          <w:color w:val="auto"/>
        </w:rPr>
      </w:pPr>
    </w:p>
    <w:p>
      <w:pPr>
        <w:ind w:left="60" w:right="179" w:firstLine="441"/>
        <w:spacing w:after="0" w:line="277" w:lineRule="auto"/>
        <w:rPr>
          <w:sz w:val="20"/>
          <w:szCs w:val="20"/>
          <w:color w:val="auto"/>
        </w:rPr>
      </w:pPr>
      <w:r>
        <w:rPr>
          <w:rFonts w:ascii="Arial" w:cs="Arial" w:eastAsia="Arial" w:hAnsi="Arial"/>
          <w:sz w:val="18"/>
          <w:szCs w:val="18"/>
          <w:color w:val="auto"/>
        </w:rPr>
        <w:t>We own a pending patent application in the United States and under the Patent Cooperation Treaty, or PCT, with the potential to cover this product candidate that, if granted, is expected to expire in 2042.</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OTX-CSI (cyclosporine intracanalicular insert) for dry eye disease</w:t>
      </w:r>
    </w:p>
    <w:p>
      <w:pPr>
        <w:spacing w:after="0" w:line="225" w:lineRule="exact"/>
        <w:rPr>
          <w:sz w:val="20"/>
          <w:szCs w:val="20"/>
          <w:color w:val="auto"/>
        </w:rPr>
      </w:pPr>
    </w:p>
    <w:p>
      <w:pPr>
        <w:ind w:left="60" w:right="79" w:firstLine="441"/>
        <w:spacing w:after="0" w:line="257" w:lineRule="auto"/>
        <w:rPr>
          <w:sz w:val="20"/>
          <w:szCs w:val="20"/>
          <w:color w:val="auto"/>
        </w:rPr>
      </w:pPr>
      <w:r>
        <w:rPr>
          <w:rFonts w:ascii="Arial" w:cs="Arial" w:eastAsia="Arial" w:hAnsi="Arial"/>
          <w:sz w:val="18"/>
          <w:szCs w:val="18"/>
          <w:color w:val="auto"/>
        </w:rPr>
        <w:t>We have licenses to three U.S. patents, patents which have issued in Australia, Canada, China and Japan, and pending applications in the European Union and India that potentially cover this product candidate, all of which are expected to expire in 2030 and cover compositions and methods of use of this product candidate. We own a pending patent application in the United States with the potential to cover this product candidate that, if granted, is expected to expire in 2041.</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OTX-DED (dexamethasone intracanalicular insert) for episodic dry eye disease</w:t>
      </w:r>
    </w:p>
    <w:p>
      <w:pPr>
        <w:spacing w:after="0" w:line="225" w:lineRule="exact"/>
        <w:rPr>
          <w:sz w:val="20"/>
          <w:szCs w:val="20"/>
          <w:color w:val="auto"/>
        </w:rPr>
      </w:pPr>
    </w:p>
    <w:p>
      <w:pPr>
        <w:ind w:left="60" w:right="79" w:firstLine="441"/>
        <w:spacing w:after="0" w:line="257" w:lineRule="auto"/>
        <w:rPr>
          <w:sz w:val="20"/>
          <w:szCs w:val="20"/>
          <w:color w:val="auto"/>
        </w:rPr>
      </w:pPr>
      <w:r>
        <w:rPr>
          <w:rFonts w:ascii="Arial" w:cs="Arial" w:eastAsia="Arial" w:hAnsi="Arial"/>
          <w:sz w:val="18"/>
          <w:szCs w:val="18"/>
          <w:color w:val="auto"/>
        </w:rPr>
        <w:t>We have licenses to three U.S. patents, patents which have issued in Australia, Canada, China and Japan, and pending applications in the European Union and India that potentially cover this product candidate, all of which are expected to expire in 2030 and cover compositions and methods of use of this product candidate. We own a pending patent application in the United States with the potential to cover this product candidate that, if granted, is expected to expire in 2041.</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DEXTENZA ® (dexamethasone ophthalmic insert) 0.4 mg</w:t>
      </w:r>
    </w:p>
    <w:p>
      <w:pPr>
        <w:spacing w:after="0" w:line="225" w:lineRule="exact"/>
        <w:rPr>
          <w:sz w:val="20"/>
          <w:szCs w:val="20"/>
          <w:color w:val="auto"/>
        </w:rPr>
      </w:pPr>
    </w:p>
    <w:p>
      <w:pPr>
        <w:ind w:left="60" w:right="199" w:firstLine="441"/>
        <w:spacing w:after="0" w:line="263" w:lineRule="auto"/>
        <w:rPr>
          <w:sz w:val="20"/>
          <w:szCs w:val="20"/>
          <w:color w:val="auto"/>
        </w:rPr>
      </w:pPr>
      <w:r>
        <w:rPr>
          <w:rFonts w:ascii="Arial" w:cs="Arial" w:eastAsia="Arial" w:hAnsi="Arial"/>
          <w:sz w:val="18"/>
          <w:szCs w:val="18"/>
          <w:color w:val="auto"/>
        </w:rPr>
        <w:t>We have licenses to three U.S. patents, patents which have issued in Australia, Canada, China and Japan, and pending applications in the European Union and India, that cover this product, all of which are expected to expire in 2030 and cover compositions and methods of use of this product candidate.</w:t>
      </w:r>
    </w:p>
    <w:p>
      <w:pPr>
        <w:spacing w:after="0" w:line="184" w:lineRule="exact"/>
        <w:rPr>
          <w:sz w:val="20"/>
          <w:szCs w:val="20"/>
          <w:color w:val="auto"/>
        </w:rPr>
      </w:pPr>
    </w:p>
    <w:p>
      <w:pPr>
        <w:ind w:left="60" w:right="699" w:firstLine="441"/>
        <w:spacing w:after="0" w:line="277" w:lineRule="auto"/>
        <w:rPr>
          <w:sz w:val="20"/>
          <w:szCs w:val="20"/>
          <w:color w:val="auto"/>
        </w:rPr>
      </w:pPr>
      <w:r>
        <w:rPr>
          <w:rFonts w:ascii="Arial" w:cs="Arial" w:eastAsia="Arial" w:hAnsi="Arial"/>
          <w:sz w:val="18"/>
          <w:szCs w:val="18"/>
          <w:color w:val="auto"/>
        </w:rPr>
        <w:t>We also recently acquired a U.S. patent application with the potential to cover this product that, if granted, is expected to expire in 2036.</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DEXTENZA ® (dexamethasone ophthalmic insert) 0.4 mg for allergic conjunctivitis</w:t>
      </w:r>
    </w:p>
    <w:p>
      <w:pPr>
        <w:spacing w:after="0" w:line="225" w:lineRule="exact"/>
        <w:rPr>
          <w:sz w:val="20"/>
          <w:szCs w:val="20"/>
          <w:color w:val="auto"/>
        </w:rPr>
      </w:pPr>
    </w:p>
    <w:p>
      <w:pPr>
        <w:ind w:left="60" w:right="79" w:firstLine="441"/>
        <w:spacing w:after="0" w:line="257" w:lineRule="auto"/>
        <w:rPr>
          <w:sz w:val="20"/>
          <w:szCs w:val="20"/>
          <w:color w:val="auto"/>
        </w:rPr>
      </w:pPr>
      <w:r>
        <w:rPr>
          <w:rFonts w:ascii="Arial" w:cs="Arial" w:eastAsia="Arial" w:hAnsi="Arial"/>
          <w:sz w:val="18"/>
          <w:szCs w:val="18"/>
          <w:color w:val="auto"/>
        </w:rPr>
        <w:t>We have licenses to three U.S. patents, patents which have issued in Australia, Canada, China and Japan, and pending applications in the European Union and India, that potentially cover this product candidate, all of which are expected to expire in 2030 and cover compositions and methods of use of this product candidate. We own a pending patent application in the United States with the potential to cover this product candidate that, if granted, is expected to expire in 2041.</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ReSure® Sealant</w:t>
      </w:r>
    </w:p>
    <w:p>
      <w:pPr>
        <w:spacing w:after="0" w:line="225" w:lineRule="exact"/>
        <w:rPr>
          <w:sz w:val="20"/>
          <w:szCs w:val="20"/>
          <w:color w:val="auto"/>
        </w:rPr>
      </w:pPr>
    </w:p>
    <w:p>
      <w:pPr>
        <w:jc w:val="both"/>
        <w:ind w:left="60" w:right="199" w:firstLine="441"/>
        <w:spacing w:after="0" w:line="263" w:lineRule="auto"/>
        <w:rPr>
          <w:sz w:val="20"/>
          <w:szCs w:val="20"/>
          <w:color w:val="auto"/>
        </w:rPr>
      </w:pPr>
      <w:r>
        <w:rPr>
          <w:rFonts w:ascii="Arial" w:cs="Arial" w:eastAsia="Arial" w:hAnsi="Arial"/>
          <w:sz w:val="18"/>
          <w:szCs w:val="18"/>
          <w:color w:val="auto"/>
        </w:rPr>
        <w:t>We have licenses to two U.S. patents that cover ReSure Sealant. One U.S. patent is expected to expire in 2024 and covers the process of making and using hydrogel compositions. Our second U.S. patent is expected to expire in 2032 and covers certain features of the ReSure Sealant package.</w:t>
      </w:r>
    </w:p>
    <w:p>
      <w:pPr>
        <w:spacing w:after="0" w:line="184" w:lineRule="exact"/>
        <w:rPr>
          <w:sz w:val="20"/>
          <w:szCs w:val="20"/>
          <w:color w:val="auto"/>
        </w:rPr>
      </w:pPr>
    </w:p>
    <w:p>
      <w:pPr>
        <w:jc w:val="both"/>
        <w:ind w:left="60" w:right="119" w:firstLine="441"/>
        <w:spacing w:after="0" w:line="263" w:lineRule="auto"/>
        <w:rPr>
          <w:sz w:val="20"/>
          <w:szCs w:val="20"/>
          <w:color w:val="auto"/>
        </w:rPr>
      </w:pPr>
      <w:r>
        <w:rPr>
          <w:rFonts w:ascii="Arial" w:cs="Arial" w:eastAsia="Arial" w:hAnsi="Arial"/>
          <w:sz w:val="18"/>
          <w:szCs w:val="18"/>
          <w:color w:val="auto"/>
        </w:rPr>
        <w:t>The existence of patent applications does not guarantee that a patent will issue, or that any patent that does issue will cover the product or product candidate. Issued patents are subject to validity and infringement challenges by third parties with uncertain chances of success.</w:t>
      </w:r>
    </w:p>
    <w:p>
      <w:pPr>
        <w:spacing w:after="0" w:line="184"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79" w:lineRule="exact"/>
        <w:rPr>
          <w:sz w:val="20"/>
          <w:szCs w:val="20"/>
          <w:color w:val="auto"/>
        </w:rPr>
      </w:pPr>
    </w:p>
    <w:p>
      <w:pPr>
        <w:ind w:left="60" w:right="139" w:firstLine="441"/>
        <w:spacing w:after="0" w:line="296" w:lineRule="auto"/>
        <w:rPr>
          <w:sz w:val="20"/>
          <w:szCs w:val="20"/>
          <w:color w:val="auto"/>
        </w:rPr>
      </w:pPr>
      <w:r>
        <w:rPr>
          <w:rFonts w:ascii="Arial" w:cs="Arial" w:eastAsia="Arial" w:hAnsi="Arial"/>
          <w:sz w:val="16"/>
          <w:szCs w:val="16"/>
          <w:color w:val="auto"/>
        </w:rPr>
        <w:t>Similar provisions are available in the European Union and certain other foreign jurisdictions to extend the term of a patent that covers an approved drug. In the future, if and when our product candidates receive approval by the FDA or foreign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w:t>
      </w:r>
    </w:p>
    <w:p>
      <w:pPr>
        <w:spacing w:after="0" w:line="161" w:lineRule="exact"/>
        <w:rPr>
          <w:sz w:val="20"/>
          <w:szCs w:val="20"/>
          <w:color w:val="auto"/>
        </w:rPr>
      </w:pPr>
    </w:p>
    <w:p>
      <w:pPr>
        <w:ind w:left="60" w:right="199" w:firstLine="441"/>
        <w:spacing w:after="0" w:line="263" w:lineRule="auto"/>
        <w:rPr>
          <w:sz w:val="20"/>
          <w:szCs w:val="20"/>
          <w:color w:val="auto"/>
        </w:rPr>
      </w:pPr>
      <w:r>
        <w:rPr>
          <w:rFonts w:ascii="Arial" w:cs="Arial" w:eastAsia="Arial" w:hAnsi="Arial"/>
          <w:sz w:val="18"/>
          <w:szCs w:val="18"/>
          <w:color w:val="auto"/>
        </w:rPr>
        <w:t>For patent applications covering our products and developmental candidates, we typically file patent applications under the PCT which provides for the filing of a single application that preserves the right to file in national patent offices in other countries up to 30 months from the first priority date.</w:t>
      </w:r>
    </w:p>
    <w:p>
      <w:pPr>
        <w:spacing w:after="0" w:line="184" w:lineRule="exact"/>
        <w:rPr>
          <w:sz w:val="20"/>
          <w:szCs w:val="20"/>
          <w:color w:val="auto"/>
        </w:rPr>
      </w:pPr>
    </w:p>
    <w:p>
      <w:pPr>
        <w:ind w:left="60" w:right="79" w:firstLine="441"/>
        <w:spacing w:after="0" w:line="259" w:lineRule="auto"/>
        <w:rPr>
          <w:sz w:val="20"/>
          <w:szCs w:val="20"/>
          <w:color w:val="auto"/>
        </w:rPr>
      </w:pPr>
      <w:r>
        <w:rPr>
          <w:rFonts w:ascii="Arial" w:cs="Arial" w:eastAsia="Arial" w:hAnsi="Arial"/>
          <w:sz w:val="18"/>
          <w:szCs w:val="18"/>
          <w:color w:val="auto"/>
        </w:rPr>
        <w:t>We may rely, in some circumstances, 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Licenses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Incept, LLC</w:t>
      </w:r>
    </w:p>
    <w:p>
      <w:pPr>
        <w:spacing w:after="0" w:line="225" w:lineRule="exact"/>
        <w:rPr>
          <w:sz w:val="20"/>
          <w:szCs w:val="20"/>
          <w:color w:val="auto"/>
        </w:rPr>
      </w:pPr>
    </w:p>
    <w:p>
      <w:pPr>
        <w:ind w:left="60" w:right="59" w:firstLine="441"/>
        <w:spacing w:after="0" w:line="291" w:lineRule="auto"/>
        <w:rPr>
          <w:sz w:val="20"/>
          <w:szCs w:val="20"/>
          <w:color w:val="auto"/>
        </w:rPr>
      </w:pPr>
      <w:r>
        <w:rPr>
          <w:rFonts w:ascii="Arial" w:cs="Arial" w:eastAsia="Arial" w:hAnsi="Arial"/>
          <w:sz w:val="16"/>
          <w:szCs w:val="16"/>
          <w:color w:val="auto"/>
        </w:rPr>
        <w:t>In January 2012, we entered into an amended and restated license agreement, which we refer to as either the Prior Agreement or Original License, with Incept under which we hold an exclusive, worldwide, perpetual, irrevocable license under specified patents and technology owned or controlled by Incept to make, have made, use, offer for sale, sell, sublicense, have sublicensed, offer for sublicense and import, products delivered to or around the human eye for diagnostic, therapeutic or prophylactic purposes relating to all human ophthalmic diseases or conditions. This license covers a significant portion of the patent rights and the technology for ReSure Sealant and our hydrogel platform technology product candidates. The agreement supersedes an April 2007 license agreement between us and Incept. Amar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Sawhney, our former President and Chief Executive Officer and former Executive Chairman of the Board of Directors, is a general partner of Incept.</w:t>
      </w:r>
    </w:p>
    <w:p>
      <w:pPr>
        <w:spacing w:after="0" w:line="170" w:lineRule="exact"/>
        <w:rPr>
          <w:sz w:val="20"/>
          <w:szCs w:val="20"/>
          <w:color w:val="auto"/>
        </w:rPr>
      </w:pPr>
    </w:p>
    <w:p>
      <w:pPr>
        <w:ind w:left="60" w:right="179" w:firstLine="441"/>
        <w:spacing w:after="0" w:line="259" w:lineRule="auto"/>
        <w:rPr>
          <w:sz w:val="20"/>
          <w:szCs w:val="20"/>
          <w:color w:val="auto"/>
        </w:rPr>
      </w:pPr>
      <w:r>
        <w:rPr>
          <w:rFonts w:ascii="Arial" w:cs="Arial" w:eastAsia="Arial" w:hAnsi="Arial"/>
          <w:sz w:val="18"/>
          <w:szCs w:val="18"/>
          <w:color w:val="auto"/>
        </w:rPr>
        <w:t>On September 13, 2018, or the Effective Date, we entered into a second amended and restated license agreement, or the Second Amended Agreement, with Incept. The Second Amended Agreement amends and restates in full the Prior Agreement, to expand the scope of our intellectual property license and modify future intellectual property ownership and other rights thereunder.</w:t>
      </w:r>
    </w:p>
    <w:p>
      <w:pPr>
        <w:spacing w:after="0" w:line="187"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i w:val="1"/>
          <w:iCs w:val="1"/>
          <w:color w:val="auto"/>
        </w:rPr>
        <w:t xml:space="preserve">License Rights; Ownership of Intellectual Property. </w:t>
      </w:r>
      <w:r>
        <w:rPr>
          <w:rFonts w:ascii="Arial" w:cs="Arial" w:eastAsia="Arial" w:hAnsi="Arial"/>
          <w:sz w:val="17"/>
          <w:szCs w:val="17"/>
          <w:color w:val="auto"/>
        </w:rPr>
        <w:t>We and Incept have agreed to expand the field of use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exclusive, worldwide, perpetual, irrevocable license held by us under the Prior Agreement to include specified intellectual property rights and technology owned or controlled by Incept to make, have made, use, offer for sale, sell, sublicense, have sublicensed, offer for sublicense and import, (i) consistent with the Prior Agreement, products delivered to or around the human eye for diagnostic, therapeutic or prophylactic purposes relating to all human ophthalmic diseases or conditions, or the Ophthalmic Field of Use, and (ii) as a result of the expansion of the scope of the Original License, products delivered for the treatment of acute post-surgical pain or for the treatment of ear, nose and/or throat diseases or conditions, subject to specified exceptions, or the Additional Field of Use. We and Incept have further agreed to expand the field of use of the Original License for certain patents, patent applications and other rights pertaining to shape-changing hydrogel formulations thereunder, or the Shape-Changing IP, to include all fields except those involving the nerves and associated tissues specified in the Second Amended Agreement.</w:t>
      </w:r>
    </w:p>
    <w:p>
      <w:pPr>
        <w:spacing w:after="0" w:line="182" w:lineRule="exact"/>
        <w:rPr>
          <w:sz w:val="20"/>
          <w:szCs w:val="20"/>
          <w:color w:val="auto"/>
        </w:rPr>
      </w:pPr>
    </w:p>
    <w:p>
      <w:pPr>
        <w:ind w:left="60" w:right="239" w:firstLine="441"/>
        <w:spacing w:after="0" w:line="287" w:lineRule="auto"/>
        <w:rPr>
          <w:sz w:val="20"/>
          <w:szCs w:val="20"/>
          <w:color w:val="auto"/>
        </w:rPr>
      </w:pPr>
      <w:r>
        <w:rPr>
          <w:rFonts w:ascii="Arial" w:cs="Arial" w:eastAsia="Arial" w:hAnsi="Arial"/>
          <w:sz w:val="16"/>
          <w:szCs w:val="16"/>
          <w:color w:val="auto"/>
        </w:rPr>
        <w:t>We will solely own, without a license to Incept, all intellectual property rights conceived solely by one or more individuals from our company, or the Company Individuals, after the Effective Date, subject to exceptions specified therein. Subject to certain exceptions specified in the Second Amended Agreement, Incept will own and license to the us</w:t>
      </w:r>
    </w:p>
    <w:p>
      <w:pPr>
        <w:spacing w:after="0" w:line="2" w:lineRule="exact"/>
        <w:rPr>
          <w:sz w:val="20"/>
          <w:szCs w:val="20"/>
          <w:color w:val="auto"/>
        </w:rPr>
      </w:pPr>
    </w:p>
    <w:p>
      <w:pPr>
        <w:ind w:left="60" w:right="199" w:hanging="10"/>
        <w:spacing w:after="0" w:line="270" w:lineRule="auto"/>
        <w:tabs>
          <w:tab w:leader="none" w:pos="2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intellectual property rights included in the Original License, or the Original IP, in the Ophthalmic Field of Use and the Additional Field of Use, (ii) intellectual property rights in the field of drug delivery conceived solely by the Company Individuals on or before the Effective Date, or Incept IP, and (iii) intellectual property rights in the field of drug delivery conceived by one or more Company Individuals jointly with one or more individuals from Incept, including Dr. Sawhney, or the Incept Individuals, after the Effective Date. These intellectual property rights are referred to as Joint IP, and, collectively with the Original IP and the Incept IP, as the Licensed IP.</w:t>
      </w:r>
    </w:p>
    <w:p>
      <w:pPr>
        <w:spacing w:after="0" w:line="178" w:lineRule="exact"/>
        <w:rPr>
          <w:sz w:val="20"/>
          <w:szCs w:val="20"/>
          <w:color w:val="auto"/>
        </w:rPr>
      </w:pPr>
    </w:p>
    <w:p>
      <w:pPr>
        <w:ind w:left="60" w:right="99" w:firstLine="441"/>
        <w:spacing w:after="0" w:line="286" w:lineRule="auto"/>
        <w:rPr>
          <w:sz w:val="20"/>
          <w:szCs w:val="20"/>
          <w:color w:val="auto"/>
        </w:rPr>
      </w:pPr>
      <w:r>
        <w:rPr>
          <w:rFonts w:ascii="Arial" w:cs="Arial" w:eastAsia="Arial" w:hAnsi="Arial"/>
          <w:sz w:val="16"/>
          <w:szCs w:val="16"/>
          <w:i w:val="1"/>
          <w:iCs w:val="1"/>
          <w:color w:val="auto"/>
        </w:rPr>
        <w:t xml:space="preserve">Financial Terms. </w:t>
      </w:r>
      <w:r>
        <w:rPr>
          <w:rFonts w:ascii="Arial" w:cs="Arial" w:eastAsia="Arial" w:hAnsi="Arial"/>
          <w:sz w:val="16"/>
          <w:szCs w:val="16"/>
          <w:color w:val="auto"/>
        </w:rPr>
        <w:t>We and any of our sublicensees are obligated to pay Incept royalties as follows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(i) consistent with the Prior Agreement, a royalty equal to a low single-digit percentage of net sales by the us or our affiliates of products, devices, materials, or components thereof, or Licensed Products, including or covered by Original IP, excluding the Shape-Changing IP, in the Ophthalmic Field of Use; (ii) a royalty equal to a mid-single-digit percentage of net sales by us or our affiliates of Licensed Products including or covered by Original IP, excluding the Shape-Changing IP, in the Additional Field of Use; and (iii) a royalty equal to a low single-digit percentage of net sales by us or our affiliates of Licensed Products including or covered by Incept IP or Joint IP in the field of drug delivery. Royalty obligations under the Second Amended Agreement commence with the first commercial sale of a Licensed Product described above and terminate upon the expiration of the last-to-expire patents included in the Licensed IP, as applicable. Any sublicensee of us also will be obligated to pay Incept royalties on net sales of Licensed Products made by it and will be bound by the terms of the Second Amended Agreement to the same extent as us. Additionally, at its sole discretion, Incept may require, as a condition of any sublicense by us in the Additional Field of Use and in exchange for a reduction in the royalties owed on net sales of Licensed Products described above, payments equal to a mid-teen percentage of any upfront payment and, subject to certain conditions, other payments received by us from the sublicensee.</w:t>
      </w:r>
    </w:p>
    <w:p>
      <w:pPr>
        <w:spacing w:after="0" w:line="171" w:lineRule="exact"/>
        <w:rPr>
          <w:sz w:val="20"/>
          <w:szCs w:val="20"/>
          <w:color w:val="auto"/>
        </w:rPr>
      </w:pPr>
    </w:p>
    <w:p>
      <w:pPr>
        <w:ind w:left="60" w:right="79" w:firstLine="441"/>
        <w:spacing w:after="0" w:line="288" w:lineRule="auto"/>
        <w:rPr>
          <w:sz w:val="20"/>
          <w:szCs w:val="20"/>
          <w:color w:val="auto"/>
        </w:rPr>
      </w:pPr>
      <w:r>
        <w:rPr>
          <w:rFonts w:ascii="Arial" w:cs="Arial" w:eastAsia="Arial" w:hAnsi="Arial"/>
          <w:sz w:val="16"/>
          <w:szCs w:val="16"/>
          <w:i w:val="1"/>
          <w:iCs w:val="1"/>
          <w:color w:val="auto"/>
        </w:rPr>
        <w:t xml:space="preserve">Patent Prosecution and Litigation. </w:t>
      </w:r>
      <w:r>
        <w:rPr>
          <w:rFonts w:ascii="Arial" w:cs="Arial" w:eastAsia="Arial" w:hAnsi="Arial"/>
          <w:sz w:val="16"/>
          <w:szCs w:val="16"/>
          <w:color w:val="auto"/>
        </w:rPr>
        <w:t>Incept will continue to have sole control and responsibility for ongoing</w:t>
      </w:r>
      <w:r>
        <w:rPr>
          <w:rFonts w:ascii="Arial" w:cs="Arial" w:eastAsia="Arial" w:hAnsi="Arial"/>
          <w:sz w:val="16"/>
          <w:szCs w:val="16"/>
          <w:i w:val="1"/>
          <w:iCs w:val="1"/>
          <w:color w:val="auto"/>
        </w:rPr>
        <w:t xml:space="preserve"> </w:t>
      </w:r>
      <w:r>
        <w:rPr>
          <w:rFonts w:ascii="Arial" w:cs="Arial" w:eastAsia="Arial" w:hAnsi="Arial"/>
          <w:sz w:val="16"/>
          <w:szCs w:val="16"/>
          <w:color w:val="auto"/>
        </w:rPr>
        <w:t>prosecution of patents included in the Original IP, and we will have sole control and responsibility for ongoing prosecution of patents and patent applications included in or arising under the Incept IP or Joint IP. The parties have agreed to work together in good faith to enter into a separate agreement under which, subject to certain limitations, we would assume control of the prosecution of patents and patent applications included in or arising under the Shape-Changing IP. We have the right, subject to certain conditions, to bring suit against third parties who infringe the patents included in the Original IP in the Ophthalmic Field of Use or the Additional Field of Use, patents included in the Incept IP in the drug delivery filed, patents included in the Joint IP in the drug delivery field, and patents included in the Shape-Changing IP in all fields except as described above. We have also agreed, if requested by Incept, to enter into a joint defense and prosecution agreement for the purpose of allowing the parties to share confidential and attorney-client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342" w:lineRule="auto"/>
        <w:rPr>
          <w:sz w:val="20"/>
          <w:szCs w:val="20"/>
          <w:color w:val="auto"/>
        </w:rPr>
      </w:pPr>
      <w:r>
        <w:rPr>
          <w:rFonts w:ascii="Arial" w:cs="Arial" w:eastAsia="Arial" w:hAnsi="Arial"/>
          <w:sz w:val="16"/>
          <w:szCs w:val="16"/>
          <w:color w:val="auto"/>
        </w:rPr>
        <w:t>privileged information regarding the possible infringement of one or more patents covered by the Second Amended Agreement. We are responsible for all costs incurred in prosecuting any infringement action it brings.</w:t>
      </w:r>
    </w:p>
    <w:p>
      <w:pPr>
        <w:spacing w:after="0" w:line="124" w:lineRule="exact"/>
        <w:rPr>
          <w:sz w:val="20"/>
          <w:szCs w:val="20"/>
          <w:color w:val="auto"/>
        </w:rPr>
      </w:pPr>
    </w:p>
    <w:p>
      <w:pPr>
        <w:ind w:left="60" w:right="199" w:firstLine="441"/>
        <w:spacing w:after="0" w:line="296" w:lineRule="auto"/>
        <w:rPr>
          <w:sz w:val="20"/>
          <w:szCs w:val="20"/>
          <w:color w:val="auto"/>
        </w:rPr>
      </w:pPr>
      <w:r>
        <w:rPr>
          <w:rFonts w:ascii="Arial" w:cs="Arial" w:eastAsia="Arial" w:hAnsi="Arial"/>
          <w:sz w:val="16"/>
          <w:szCs w:val="16"/>
          <w:i w:val="1"/>
          <w:iCs w:val="1"/>
          <w:color w:val="auto"/>
        </w:rPr>
        <w:t xml:space="preserve">Term and Termination. </w:t>
      </w:r>
      <w:r>
        <w:rPr>
          <w:rFonts w:ascii="Arial" w:cs="Arial" w:eastAsia="Arial" w:hAnsi="Arial"/>
          <w:sz w:val="16"/>
          <w:szCs w:val="16"/>
          <w:color w:val="auto"/>
        </w:rPr>
        <w:t>The Second Amended Agreement will expire on the later of (i) the expiration or disclaimer</w:t>
      </w:r>
      <w:r>
        <w:rPr>
          <w:rFonts w:ascii="Arial" w:cs="Arial" w:eastAsia="Arial" w:hAnsi="Arial"/>
          <w:sz w:val="16"/>
          <w:szCs w:val="16"/>
          <w:i w:val="1"/>
          <w:iCs w:val="1"/>
          <w:color w:val="auto"/>
        </w:rPr>
        <w:t xml:space="preserve"> </w:t>
      </w:r>
      <w:r>
        <w:rPr>
          <w:rFonts w:ascii="Arial" w:cs="Arial" w:eastAsia="Arial" w:hAnsi="Arial"/>
          <w:sz w:val="16"/>
          <w:szCs w:val="16"/>
          <w:color w:val="auto"/>
        </w:rPr>
        <w:t>by us of the last valid claim of an issued and unexpired patent included in the Licensed IP or (ii) the final unappealable rejection or abandonment of the last pending patent application arising under the Licensed IP. Either party may terminate the Second Amended Agreement in the event of the other party’s insolvency, bankruptcy or comparable proceedings, or if the other party materially breaches the agreement and does not cure such breach during a specified cure period.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AffaMed License Agreement</w:t>
      </w:r>
    </w:p>
    <w:p>
      <w:pPr>
        <w:spacing w:after="0" w:line="225" w:lineRule="exact"/>
        <w:rPr>
          <w:sz w:val="20"/>
          <w:szCs w:val="20"/>
          <w:color w:val="auto"/>
        </w:rPr>
      </w:pPr>
    </w:p>
    <w:p>
      <w:pPr>
        <w:ind w:left="60" w:right="99" w:firstLine="441"/>
        <w:spacing w:after="0" w:line="272" w:lineRule="auto"/>
        <w:rPr>
          <w:sz w:val="20"/>
          <w:szCs w:val="20"/>
          <w:color w:val="auto"/>
        </w:rPr>
      </w:pPr>
      <w:r>
        <w:rPr>
          <w:rFonts w:ascii="Arial" w:cs="Arial" w:eastAsia="Arial" w:hAnsi="Arial"/>
          <w:sz w:val="17"/>
          <w:szCs w:val="17"/>
          <w:color w:val="auto"/>
        </w:rPr>
        <w:t>On October 29, 2020, we entered into a license agreement, or the License Agreement, with AffaMed for the development and commercialization of DEXTENZA regarding ocular inflammation and pain following cataract surgery and allergic conjunctivitis, or collectively, the DEXTENZA Field, and for OTX-TIC, or collectively with DEXTENZA, the AffaMed Licensed Products, regarding open-angle glaucoma and ocular hypertension, or collectively, the TIC Field and, with the DEXTENZA Field, each a Field, in each case in mainland China, Taiwan, Hong Kong, Macau, South Korea, and the countries of the Association of Southeast Asian Nations, or collectively, the Territories. We retain development and commercialization rights for the AffaMed Licensed Products in the rest of the world.</w:t>
      </w:r>
    </w:p>
    <w:p>
      <w:pPr>
        <w:spacing w:after="0" w:line="177" w:lineRule="exact"/>
        <w:rPr>
          <w:sz w:val="20"/>
          <w:szCs w:val="20"/>
          <w:color w:val="auto"/>
        </w:rPr>
      </w:pPr>
    </w:p>
    <w:p>
      <w:pPr>
        <w:ind w:left="60" w:right="99" w:firstLine="441"/>
        <w:spacing w:after="0" w:line="288" w:lineRule="auto"/>
        <w:rPr>
          <w:sz w:val="20"/>
          <w:szCs w:val="20"/>
          <w:color w:val="auto"/>
        </w:rPr>
      </w:pPr>
      <w:r>
        <w:rPr>
          <w:rFonts w:ascii="Arial" w:cs="Arial" w:eastAsia="Arial" w:hAnsi="Arial"/>
          <w:sz w:val="16"/>
          <w:szCs w:val="16"/>
          <w:color w:val="auto"/>
        </w:rPr>
        <w:t>Under the License Agreement, we granted AffaMed (i) a non-exclusive, royalty-free, non-sublicensable license under certain of our intellectual property rights and know-how to use the AffaMed Licensed Products in connection with specified activities in accordance with a development plan agreed between the parties and (ii) an exclusive, royalty-bearing, sublicensable, non-transferable (subject to specified exceptions), license under certain of our intellectual property rights and know-how to commercialize the AffaMed Licensed Products in the applicable Field in the Territories. We have further agreed not to, and to cause its affiliates or agents not to, develop or commercialize in the Territories (i) the AffaMed Licensed Products outside of the applicable Fields and (ii) any other product containing the same active pharmaceutical ingredients as the AffaMed Licensed Products and administered into the anterior chamber of the eye, in each case without AffaMed’s prior written consent. AffaMed has agreed not to, and to cause its affiliates or agents not to, engage in the development, manufacture, or commercialization of any competing product in the Territories.</w:t>
      </w:r>
    </w:p>
    <w:p>
      <w:pPr>
        <w:spacing w:after="0" w:line="168" w:lineRule="exact"/>
        <w:rPr>
          <w:sz w:val="20"/>
          <w:szCs w:val="20"/>
          <w:color w:val="auto"/>
        </w:rPr>
      </w:pPr>
    </w:p>
    <w:p>
      <w:pPr>
        <w:ind w:left="60" w:right="79" w:firstLine="441"/>
        <w:spacing w:after="0" w:line="254" w:lineRule="auto"/>
        <w:rPr>
          <w:sz w:val="20"/>
          <w:szCs w:val="20"/>
          <w:color w:val="auto"/>
        </w:rPr>
      </w:pPr>
      <w:r>
        <w:rPr>
          <w:rFonts w:ascii="Arial" w:cs="Arial" w:eastAsia="Arial" w:hAnsi="Arial"/>
          <w:sz w:val="18"/>
          <w:szCs w:val="18"/>
          <w:color w:val="auto"/>
        </w:rPr>
        <w:t>Under the terms of the License Agreement, we received upfront payments totaling $12 million in the fourth quarter of 2020. We are also eligible to receive up to an additional $91 million in aggregate, inclusive of a low-seven-figure clinical support payment, upon the achievement of certain development and commercial milestones. There can be no guarantee, however, that any of these milestones will be achieved. We are also entitled to receive tiered, escalating royalties on the net sales of the AffaMed Licensed Products ranging from a low-teen to low-twenties percentage. Royalties under the License Agreement are payable on an AffaMed Licensed Product-by-AffaMed Licensed Product and jurisdiction-by-jurisdiction basis and are subject to potential reductions in specified circumstances, subject to a specified floor.</w:t>
      </w:r>
    </w:p>
    <w:p>
      <w:pPr>
        <w:spacing w:after="0" w:line="192" w:lineRule="exact"/>
        <w:rPr>
          <w:sz w:val="20"/>
          <w:szCs w:val="20"/>
          <w:color w:val="auto"/>
        </w:rPr>
      </w:pPr>
    </w:p>
    <w:p>
      <w:pPr>
        <w:ind w:left="60" w:right="799" w:firstLine="441"/>
        <w:spacing w:after="0" w:line="291" w:lineRule="auto"/>
        <w:rPr>
          <w:sz w:val="20"/>
          <w:szCs w:val="20"/>
          <w:color w:val="auto"/>
        </w:rPr>
      </w:pPr>
      <w:r>
        <w:rPr>
          <w:rFonts w:ascii="Arial" w:cs="Arial" w:eastAsia="Arial" w:hAnsi="Arial"/>
          <w:sz w:val="16"/>
          <w:szCs w:val="16"/>
          <w:color w:val="auto"/>
        </w:rPr>
        <w:t>Pursuant to the terms of the License Agreement, we are generally responsible for expenses related to the development of the AffaMed Licensed Products in the applicable Fields in the Territories, provided that AffaMed</w:t>
      </w:r>
    </w:p>
    <w:p>
      <w:pPr>
        <w:ind w:left="60" w:right="59" w:hanging="10"/>
        <w:spacing w:after="0" w:line="286" w:lineRule="auto"/>
        <w:tabs>
          <w:tab w:leader="none" w:pos="2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reimburse us a low-teen percentage of expenses incurred in connection with certain clinical trials conducted by us and designed to support marketing approval of the AffaMed Licensed Product by FDA or the European Medicines Agency, or the Global Studies; (ii) is solely responsible for expenses incurred in connection with territory-specific clinical trials that it conducts in furtherance of the development plan agreed between the parties in the applicable Fields in the Territories, or the Local Studies; and (iii) reimburse us in full for expenses incurred in connection with obtaining and maintaining regulatory approvals of the AffaMed Licensed Products in the applicable Fields in the Territories. In the event AffaMed declines to participate in a Global Study or to conduct a Local Study in any jurisdiction in which we determine to conduct such a study, we are relieved of our obligation to provide AffaMed clinical data from such study, other than safety data, unless AffaMed subsequently reimburses us in the amounts described above plus a prespecified premium.</w:t>
      </w:r>
    </w:p>
    <w:p>
      <w:pPr>
        <w:spacing w:after="0" w:line="172" w:lineRule="exact"/>
        <w:rPr>
          <w:sz w:val="20"/>
          <w:szCs w:val="20"/>
          <w:color w:val="auto"/>
        </w:rPr>
      </w:pPr>
    </w:p>
    <w:p>
      <w:pPr>
        <w:jc w:val="both"/>
        <w:ind w:left="60" w:right="259" w:firstLine="441"/>
        <w:spacing w:after="0" w:line="311" w:lineRule="auto"/>
        <w:rPr>
          <w:sz w:val="20"/>
          <w:szCs w:val="20"/>
          <w:color w:val="auto"/>
        </w:rPr>
      </w:pPr>
      <w:r>
        <w:rPr>
          <w:rFonts w:ascii="Arial" w:cs="Arial" w:eastAsia="Arial" w:hAnsi="Arial"/>
          <w:sz w:val="16"/>
          <w:szCs w:val="16"/>
          <w:color w:val="auto"/>
        </w:rPr>
        <w:t>AffaMed is further obligated, at its sole cost and expense, to use commercially reasonable efforts to commercialize the AffaMed Licensed Products in the applicable Fields in the Territories. The License Agreement contemplates that the parties negotiate and enter into a future agreement requiring us to use commercially reasonable efforts to manufacture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and supply finished drug products in sufficient quantity for clinical development and commercialization of the AffaMed Licensed Products in the applicable Fields in the Territories.</w:t>
      </w:r>
    </w:p>
    <w:p>
      <w:pPr>
        <w:spacing w:after="0" w:line="170" w:lineRule="exact"/>
        <w:rPr>
          <w:sz w:val="20"/>
          <w:szCs w:val="20"/>
          <w:color w:val="auto"/>
        </w:rPr>
      </w:pPr>
    </w:p>
    <w:p>
      <w:pPr>
        <w:ind w:left="60" w:right="59" w:firstLine="441"/>
        <w:spacing w:after="0" w:line="289" w:lineRule="auto"/>
        <w:rPr>
          <w:sz w:val="20"/>
          <w:szCs w:val="20"/>
          <w:color w:val="auto"/>
        </w:rPr>
      </w:pPr>
      <w:r>
        <w:rPr>
          <w:rFonts w:ascii="Arial" w:cs="Arial" w:eastAsia="Arial" w:hAnsi="Arial"/>
          <w:sz w:val="16"/>
          <w:szCs w:val="16"/>
          <w:color w:val="auto"/>
        </w:rPr>
        <w:t>In accordance with its terms, the License Agreement expires upon the expiration of the last royalty term for the last AffaMed Licensed Product in any applicable Field in the Territories. Either party may, subject to specified cure periods, terminate the License Agreement in the event of the other party’s uncured breach. Either party may also terminate the License Agreement under specified circumstances relating to the other party’s insolvency. During an established period following a change of control of us or our entry into a global licensing agreement that includes the Territories with a third party, we have the option to terminate the License Agreement, subject to a specified notice period and the repayment of any costs and expenses incurred by AffaMed in connection with the License Agreement, including upfront and milestone payments AffaMed has previously paid to us, at a prespecified premium. AffaMed has the right to terminate the License Agreement at any time following the completion of a Phase 3 clinical trial to evaluate OTX-TIC.</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79" w:firstLine="441"/>
        <w:spacing w:after="0" w:line="268"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potential competitors include large pharmaceutical and biotechnology companies, specialty pharmaceutical and generic drug companies, and compounding pharmacies.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our potential competitors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86" w:lineRule="exact"/>
        <w:rPr>
          <w:sz w:val="20"/>
          <w:szCs w:val="20"/>
          <w:color w:val="auto"/>
        </w:rPr>
      </w:pPr>
    </w:p>
    <w:p>
      <w:pPr>
        <w:ind w:left="60" w:right="279" w:firstLine="441"/>
        <w:spacing w:after="0" w:line="311" w:lineRule="auto"/>
        <w:rPr>
          <w:sz w:val="20"/>
          <w:szCs w:val="20"/>
          <w:color w:val="auto"/>
        </w:rPr>
      </w:pPr>
      <w:r>
        <w:rPr>
          <w:rFonts w:ascii="Arial" w:cs="Arial" w:eastAsia="Arial" w:hAnsi="Arial"/>
          <w:sz w:val="16"/>
          <w:szCs w:val="16"/>
          <w:color w:val="auto"/>
        </w:rPr>
        <w:t>The key competitive factors affecting the success of each of our product candidates, if approved for marketing, are likely to be efficacy, safety, method of administration, convenience, price, the level of generic competition and the availability of coverage and adequate reimbursement from government and other third-party payors.</w:t>
      </w:r>
    </w:p>
    <w:p>
      <w:pPr>
        <w:spacing w:after="0" w:line="149" w:lineRule="exact"/>
        <w:rPr>
          <w:sz w:val="20"/>
          <w:szCs w:val="20"/>
          <w:color w:val="auto"/>
        </w:rPr>
      </w:pPr>
    </w:p>
    <w:p>
      <w:pPr>
        <w:ind w:left="60" w:right="99" w:firstLine="441"/>
        <w:spacing w:after="0" w:line="271" w:lineRule="auto"/>
        <w:rPr>
          <w:sz w:val="20"/>
          <w:szCs w:val="20"/>
          <w:color w:val="auto"/>
        </w:rPr>
      </w:pPr>
      <w:r>
        <w:rPr>
          <w:rFonts w:ascii="Arial" w:cs="Arial" w:eastAsia="Arial" w:hAnsi="Arial"/>
          <w:sz w:val="17"/>
          <w:szCs w:val="17"/>
          <w:color w:val="auto"/>
        </w:rPr>
        <w:t>Because the active pharmaceutical ingredients in our product candidates are available on a generic basis, or are soon to be available on a generic basis, competitors will be able to offer and sell products with the same active pharmaceutical ingredient as our products so long as these competitors do not infringe the patents that we license. For example, our licensed patents related to our intracanalicular insert product candidates largely relate to the hydrogel composition of the intracanalicular inserts and certain drug-release features of the intracanalicular inserts. As such, if a third party were able to design around the formulation and process patents that we license and create a different formulation using a different production process not covered by our licensed patents or patent applications, we would likely be unable to prevent that third party from manufacturing and marketing its product.</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Competitors of our Intracanalicular Insert Product Candidates</w:t>
      </w:r>
    </w:p>
    <w:p>
      <w:pPr>
        <w:spacing w:after="0" w:line="225" w:lineRule="exact"/>
        <w:rPr>
          <w:sz w:val="20"/>
          <w:szCs w:val="20"/>
          <w:color w:val="auto"/>
        </w:rPr>
      </w:pPr>
    </w:p>
    <w:p>
      <w:pPr>
        <w:ind w:left="60" w:right="79" w:firstLine="441"/>
        <w:spacing w:after="0" w:line="263" w:lineRule="auto"/>
        <w:rPr>
          <w:sz w:val="20"/>
          <w:szCs w:val="20"/>
          <w:color w:val="auto"/>
        </w:rPr>
      </w:pPr>
      <w:r>
        <w:rPr>
          <w:rFonts w:ascii="Arial" w:cs="Arial" w:eastAsia="Arial" w:hAnsi="Arial"/>
          <w:sz w:val="18"/>
          <w:szCs w:val="18"/>
          <w:color w:val="auto"/>
        </w:rPr>
        <w:t>Several competitors are developing sustained drug release products for the same ophthalmic indications as our retinal implants, intracameral implants, intracanalicular insert and wound sealant products and product candidates, as set forth below.</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Competitors of our Retinal Implants</w:t>
      </w:r>
    </w:p>
    <w:p>
      <w:pPr>
        <w:spacing w:after="0" w:line="225" w:lineRule="exact"/>
        <w:rPr>
          <w:sz w:val="20"/>
          <w:szCs w:val="20"/>
          <w:color w:val="auto"/>
        </w:rPr>
      </w:pPr>
    </w:p>
    <w:p>
      <w:pPr>
        <w:ind w:left="60" w:right="119" w:firstLine="441"/>
        <w:spacing w:after="0" w:line="272" w:lineRule="auto"/>
        <w:rPr>
          <w:sz w:val="20"/>
          <w:szCs w:val="20"/>
          <w:color w:val="auto"/>
        </w:rPr>
      </w:pPr>
      <w:r>
        <w:rPr>
          <w:rFonts w:ascii="Arial" w:cs="Arial" w:eastAsia="Arial" w:hAnsi="Arial"/>
          <w:sz w:val="17"/>
          <w:szCs w:val="17"/>
          <w:color w:val="auto"/>
        </w:rPr>
        <w:t>Our intravitreal implant for the treatment of wet AMD will compete with anti-VEGF compounds administered in their current formulation and prescribed for the treatment of wet AMD as these agents can in some instances deliver one to two months or more of therapeutic effect. They include Lucentis, Eylea, Beovu and off-label use of the cancer therapy Avastin. Multiple companies, although all in early stages of development, are exploring ways to deliver anti-VEGF products in a sustained-release fashion, including Clearside Biomedical, Inc., which is pursuing a TKI (axitinib) administered into the suprachoroidal space; Eyepoint Pharmaceuticals, Inc., which is pursuing a sustained-release bioerodible device containing a TKI (vorolanib) using its Durasert™ technology; Aerie Pharmaceuticals, which is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pursuing development of a 4-6 month TKI implant (axitinib) using its Print® manufacturing technology; Graybug Vision, Inc. which is pursuing a sustained-release microparticle depot TKI formulation (sunitinib) to extend therapeutic drug levels in ocular tissue for up to six months; and Kodiak Sciences Inc., which is pursuing sustained release therapies based on its anti-VEGF biopolymer conjugate technology. In addition, there are several companies pursuing gene therapy to treat retinal diseases including Adverum Biotechnologies, Inc. and REGENXBIO Inc. There also are a number of companies with products in development targeting the inhibition of the complement system to address retinal diseases, specifically geographic atrophy including Apellis Pharmaceuticals, IVERIC bio, Inc., Annexion Biosciences, Gyroscope Therapeutics, Genentech/Ionis and Janssen Pharmaceutical, among others.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Competitors of OTX-TIC</w:t>
      </w:r>
    </w:p>
    <w:p>
      <w:pPr>
        <w:spacing w:after="0" w:line="225" w:lineRule="exact"/>
        <w:rPr>
          <w:sz w:val="20"/>
          <w:szCs w:val="20"/>
          <w:color w:val="auto"/>
        </w:rPr>
      </w:pPr>
    </w:p>
    <w:p>
      <w:pPr>
        <w:ind w:left="60" w:right="119" w:firstLine="441"/>
        <w:spacing w:after="0" w:line="290" w:lineRule="auto"/>
        <w:rPr>
          <w:sz w:val="20"/>
          <w:szCs w:val="20"/>
          <w:color w:val="auto"/>
        </w:rPr>
      </w:pPr>
      <w:r>
        <w:rPr>
          <w:rFonts w:ascii="Arial" w:cs="Arial" w:eastAsia="Arial" w:hAnsi="Arial"/>
          <w:sz w:val="16"/>
          <w:szCs w:val="16"/>
          <w:color w:val="auto"/>
        </w:rPr>
        <w:t>Allergan PLC, now owned by AbbVie, Inc., received approval in March 2020 of DURYSTA™, a biodegradable bimatoprost intracameral implant consisting of a PGA and a biodegradable polymer matrix for the reduction of IOP in patients with open-angle glaucoma or ocular hypertension. Allergan purchased ForSight VISION5 who was conducting a Phase 2 clinical development of the Helios insert, a sustained-release ocular insert placed below the eyelid that delivers bimatoprost for the treatment of glaucoma. Glaukos, Inc. is in Phase 3 trials with its iDose technology to deliver travoprost for the treatment of glaucoma. In addition, several other companies have announced their intention to develop products for treatment of glaucoma using sustained-release therapy, although each of these is at an early stage of development. Mati Therapeutics has conducted a Phase 2 clinical development of an intracanalicular insert for the treatment of glaucoma.</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Competitors of OTX-CSI and OTX-DED</w:t>
      </w:r>
    </w:p>
    <w:p>
      <w:pPr>
        <w:spacing w:after="0" w:line="225" w:lineRule="exact"/>
        <w:rPr>
          <w:sz w:val="20"/>
          <w:szCs w:val="20"/>
          <w:color w:val="auto"/>
        </w:rPr>
      </w:pPr>
    </w:p>
    <w:p>
      <w:pPr>
        <w:ind w:left="60" w:right="79" w:firstLine="243"/>
        <w:spacing w:after="0" w:line="287" w:lineRule="auto"/>
        <w:rPr>
          <w:sz w:val="20"/>
          <w:szCs w:val="20"/>
          <w:color w:val="auto"/>
        </w:rPr>
      </w:pPr>
      <w:r>
        <w:rPr>
          <w:rFonts w:ascii="Arial" w:cs="Arial" w:eastAsia="Arial" w:hAnsi="Arial"/>
          <w:sz w:val="16"/>
          <w:szCs w:val="16"/>
          <w:color w:val="auto"/>
        </w:rPr>
        <w:t>A number of therapies are currently available for the treatment of DED in the United States. The most commonly used treatments for DED in the United States are over-the-counter eye drops, often referred to as “artificial tears,” and three FDA-approved prescription eye drop therapies: Restasis, Xiidra and Cequa. Artificial tears are intended to supplement insufficient tear production or improve tear film instability, but are primarily saline-based and provide only temporary relief. Restasis and Cequa, both calcineurin inhibitor immunosuppressants, and Xiidra, a LFA-1 antagonist, address chronic inflammation associated with DED. Kala Pharmaceuticals received approval in 2020 and launched EYESUVIS™, (loteprednol etabonate ophthalmic suspension) 0.25% for the short term (up to two weeks) treatment of the signs and symptoms of dry eye disease. Other treatment options include ointments, gels, warm compresses, omega-3 fatty acid supplements and a number of medical devices. We are aware of many other companies developing therapies for DED, including Aerie Pharmaceuticals, Alcon, Aldeyra Therapeutics, Allergan, Aurinia Pharmaceuticals, Azura Ophthalmics, Bausch Health (Novaliq), HanAll BioPharma, Johnson &amp; Johnson, Mitotech, Novartis, Oyster Point Pharma, Parion Sciences, ReGenTree, Silk Technologies, Sylentis, TearSolutions, and TopiVert Pharma.</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Competitors of DEXTENZA</w:t>
      </w:r>
    </w:p>
    <w:p>
      <w:pPr>
        <w:spacing w:after="0" w:line="225" w:lineRule="exact"/>
        <w:rPr>
          <w:sz w:val="20"/>
          <w:szCs w:val="20"/>
          <w:color w:val="auto"/>
        </w:rPr>
      </w:pPr>
    </w:p>
    <w:p>
      <w:pPr>
        <w:ind w:left="60" w:right="319" w:firstLine="441"/>
        <w:spacing w:after="0" w:line="257" w:lineRule="auto"/>
        <w:rPr>
          <w:sz w:val="20"/>
          <w:szCs w:val="20"/>
          <w:color w:val="auto"/>
        </w:rPr>
      </w:pPr>
      <w:r>
        <w:rPr>
          <w:rFonts w:ascii="Arial" w:cs="Arial" w:eastAsia="Arial" w:hAnsi="Arial"/>
          <w:sz w:val="18"/>
          <w:szCs w:val="18"/>
          <w:color w:val="auto"/>
        </w:rPr>
        <w:t>Icon Biosciences, Inc. received FDA approval of DEXYCU in February 2018. DEXYCU is an injection of dexamethasone at the time of surgery into the posterior chamber of the eye (behind the iris) to treat inflammation associated with cataract surgery. Icon Biosciences Inc. was subsequently bought by pSvidia Corporation in March 2018 and, at the same time, the new entity was renamed Eyepoint. Eyepoint launched DEXYCU commercially in the first quarter of 2019.</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Competitors of ReSure Sealant</w:t>
      </w:r>
    </w:p>
    <w:p>
      <w:pPr>
        <w:spacing w:after="0" w:line="225" w:lineRule="exact"/>
        <w:rPr>
          <w:sz w:val="20"/>
          <w:szCs w:val="20"/>
          <w:color w:val="auto"/>
        </w:rPr>
      </w:pPr>
    </w:p>
    <w:p>
      <w:pPr>
        <w:ind w:left="60" w:right="239" w:firstLine="441"/>
        <w:spacing w:after="0" w:line="255" w:lineRule="auto"/>
        <w:rPr>
          <w:sz w:val="20"/>
          <w:szCs w:val="20"/>
          <w:color w:val="auto"/>
        </w:rPr>
      </w:pPr>
      <w:r>
        <w:rPr>
          <w:rFonts w:ascii="Arial" w:cs="Arial" w:eastAsia="Arial" w:hAnsi="Arial"/>
          <w:sz w:val="18"/>
          <w:szCs w:val="18"/>
          <w:color w:val="auto"/>
        </w:rPr>
        <w:t>ReSure Sealant is the first and only surgical sealant approved for ophthalmic use in the United States. Outside the United States, Beaver Visitec is commercializing its product OcuSeal, which is designed to provide a protective hydrogel film barrier to stabilize ocular wounds. This product has received a CE Mark in Europe but is not approved for use in the United States. Sutures are the primary alternative for closing ophthalmic wounds. In addition, a technique called stromal hydration, which involves the localized injection of a balanced salt solution at the wound edges, is often used to facilitate the self-sealing of a wound.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right="99" w:firstLine="220"/>
        <w:spacing w:after="0" w:line="308"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including the European Union, extensively regulate, among other things, the research, development,</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testing, manufacture, quality control, clearance, approval, pricing, sales, reimbursement, packaging, storage, recordkeeping, labeling, advertising, promotion, distribution, marketing, post-approval monitoring and reporting, and import and export of pharmaceutical products and medical devices.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Review and Approval of Drugs and Biologics in the United States</w:t>
      </w:r>
    </w:p>
    <w:p>
      <w:pPr>
        <w:spacing w:after="0" w:line="225" w:lineRule="exact"/>
        <w:rPr>
          <w:sz w:val="20"/>
          <w:szCs w:val="20"/>
          <w:color w:val="auto"/>
        </w:rPr>
      </w:pPr>
    </w:p>
    <w:p>
      <w:pPr>
        <w:ind w:left="60" w:right="199" w:firstLine="441"/>
        <w:spacing w:after="0" w:line="259" w:lineRule="auto"/>
        <w:rPr>
          <w:sz w:val="20"/>
          <w:szCs w:val="20"/>
          <w:color w:val="auto"/>
        </w:rPr>
      </w:pPr>
      <w:r>
        <w:rPr>
          <w:rFonts w:ascii="Arial" w:cs="Arial" w:eastAsia="Arial" w:hAnsi="Arial"/>
          <w:sz w:val="18"/>
          <w:szCs w:val="18"/>
          <w:color w:val="auto"/>
        </w:rPr>
        <w:t>In the United States, the FDA approves and regulates drugs under the FDCA and related regulations. Drugs are also subject to other federal, state and local statutes and regulations. Biological products are licensed for marketing under the Public Health Service Act, or PHSA, and subject to regulation under the FDCA and related regulations, and other federal, state and local statutes and regulations.</w:t>
      </w:r>
    </w:p>
    <w:p>
      <w:pPr>
        <w:spacing w:after="0" w:line="187" w:lineRule="exact"/>
        <w:rPr>
          <w:sz w:val="20"/>
          <w:szCs w:val="20"/>
          <w:color w:val="auto"/>
        </w:rPr>
      </w:pPr>
    </w:p>
    <w:p>
      <w:pPr>
        <w:ind w:left="60" w:right="319" w:firstLine="441"/>
        <w:spacing w:after="0" w:line="277" w:lineRule="auto"/>
        <w:rPr>
          <w:sz w:val="20"/>
          <w:szCs w:val="20"/>
          <w:color w:val="auto"/>
        </w:rPr>
      </w:pPr>
      <w:r>
        <w:rPr>
          <w:rFonts w:ascii="Arial" w:cs="Arial" w:eastAsia="Arial" w:hAnsi="Arial"/>
          <w:sz w:val="18"/>
          <w:szCs w:val="18"/>
          <w:color w:val="auto"/>
        </w:rPr>
        <w:t>An applicant seeking approval to market and distribute a new drug or biological product in the United States must typically undertake the following:</w:t>
      </w:r>
    </w:p>
    <w:p>
      <w:pPr>
        <w:spacing w:after="0" w:line="170" w:lineRule="exact"/>
        <w:rPr>
          <w:sz w:val="20"/>
          <w:szCs w:val="20"/>
          <w:color w:val="auto"/>
        </w:rPr>
      </w:pPr>
    </w:p>
    <w:p>
      <w:pPr>
        <w:ind w:left="840" w:right="159" w:hanging="331"/>
        <w:spacing w:after="0" w:line="277"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97" w:lineRule="exact"/>
        <w:rPr>
          <w:rFonts w:ascii="Arial" w:cs="Arial" w:eastAsia="Arial" w:hAnsi="Arial"/>
          <w:sz w:val="18"/>
          <w:szCs w:val="18"/>
          <w:color w:val="auto"/>
        </w:rPr>
      </w:pPr>
    </w:p>
    <w:p>
      <w:pPr>
        <w:ind w:left="840" w:hanging="331"/>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submission to the FDA of an IND, which must take effect before human clinical trials may begin;</w:t>
      </w:r>
    </w:p>
    <w:p>
      <w:pPr>
        <w:spacing w:after="0" w:line="252" w:lineRule="exact"/>
        <w:rPr>
          <w:rFonts w:ascii="Arial" w:cs="Arial" w:eastAsia="Arial" w:hAnsi="Arial"/>
          <w:sz w:val="18"/>
          <w:szCs w:val="18"/>
          <w:color w:val="auto"/>
        </w:rPr>
      </w:pPr>
    </w:p>
    <w:p>
      <w:pPr>
        <w:ind w:left="840" w:right="619" w:hanging="331"/>
        <w:spacing w:after="0" w:line="277"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each clinical trial may be initiated;</w:t>
      </w:r>
    </w:p>
    <w:p>
      <w:pPr>
        <w:spacing w:after="0" w:line="197" w:lineRule="exact"/>
        <w:rPr>
          <w:rFonts w:ascii="Arial" w:cs="Arial" w:eastAsia="Arial" w:hAnsi="Arial"/>
          <w:sz w:val="18"/>
          <w:szCs w:val="18"/>
          <w:color w:val="auto"/>
        </w:rPr>
      </w:pPr>
    </w:p>
    <w:p>
      <w:pPr>
        <w:ind w:left="840" w:right="239" w:hanging="331"/>
        <w:spacing w:after="0" w:line="308" w:lineRule="auto"/>
        <w:tabs>
          <w:tab w:leader="none" w:pos="8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Practices, or GCP, to establish the safety and efficacy of the proposed drug product for each indication;</w:t>
      </w:r>
    </w:p>
    <w:p>
      <w:pPr>
        <w:spacing w:after="0" w:line="173" w:lineRule="exact"/>
        <w:rPr>
          <w:rFonts w:ascii="Arial" w:cs="Arial" w:eastAsia="Arial" w:hAnsi="Arial"/>
          <w:sz w:val="17"/>
          <w:szCs w:val="17"/>
          <w:color w:val="auto"/>
        </w:rPr>
      </w:pPr>
    </w:p>
    <w:p>
      <w:pPr>
        <w:ind w:left="840" w:right="239" w:hanging="331"/>
        <w:spacing w:after="0" w:line="263"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or NDA, for a drug candidate product and a biological licensing application, or BLA, for a biological product requesting marketing for one or more proposed indications;</w:t>
      </w:r>
    </w:p>
    <w:p>
      <w:pPr>
        <w:spacing w:after="0" w:line="210" w:lineRule="exact"/>
        <w:rPr>
          <w:rFonts w:ascii="Arial" w:cs="Arial" w:eastAsia="Arial" w:hAnsi="Arial"/>
          <w:sz w:val="18"/>
          <w:szCs w:val="18"/>
          <w:color w:val="auto"/>
        </w:rPr>
      </w:pPr>
    </w:p>
    <w:p>
      <w:pPr>
        <w:ind w:left="840" w:hanging="331"/>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by an FDA advisory committee, where appropriate or if applicable;</w:t>
      </w:r>
    </w:p>
    <w:p>
      <w:pPr>
        <w:spacing w:after="0" w:line="252" w:lineRule="exact"/>
        <w:rPr>
          <w:rFonts w:ascii="Arial" w:cs="Arial" w:eastAsia="Arial" w:hAnsi="Arial"/>
          <w:sz w:val="18"/>
          <w:szCs w:val="18"/>
          <w:color w:val="auto"/>
        </w:rPr>
      </w:pPr>
    </w:p>
    <w:p>
      <w:pPr>
        <w:ind w:left="840" w:right="139" w:hanging="331"/>
        <w:spacing w:after="0" w:line="259"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213" w:lineRule="exact"/>
        <w:rPr>
          <w:rFonts w:ascii="Arial" w:cs="Arial" w:eastAsia="Arial" w:hAnsi="Arial"/>
          <w:sz w:val="18"/>
          <w:szCs w:val="18"/>
          <w:color w:val="auto"/>
        </w:rPr>
      </w:pPr>
    </w:p>
    <w:p>
      <w:pPr>
        <w:ind w:left="840" w:right="159" w:hanging="331"/>
        <w:spacing w:after="0" w:line="277"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clinical data;</w:t>
      </w:r>
    </w:p>
    <w:p>
      <w:pPr>
        <w:spacing w:after="0" w:line="197" w:lineRule="exact"/>
        <w:rPr>
          <w:rFonts w:ascii="Arial" w:cs="Arial" w:eastAsia="Arial" w:hAnsi="Arial"/>
          <w:sz w:val="18"/>
          <w:szCs w:val="18"/>
          <w:color w:val="auto"/>
        </w:rPr>
      </w:pPr>
    </w:p>
    <w:p>
      <w:pPr>
        <w:ind w:left="840" w:hanging="331"/>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or BLA; and</w:t>
      </w:r>
    </w:p>
    <w:p>
      <w:pPr>
        <w:spacing w:after="0" w:line="252" w:lineRule="exact"/>
        <w:rPr>
          <w:rFonts w:ascii="Arial" w:cs="Arial" w:eastAsia="Arial" w:hAnsi="Arial"/>
          <w:sz w:val="18"/>
          <w:szCs w:val="18"/>
          <w:color w:val="auto"/>
        </w:rPr>
      </w:pPr>
    </w:p>
    <w:p>
      <w:pPr>
        <w:ind w:left="840" w:right="259" w:hanging="331"/>
        <w:spacing w:after="0" w:line="342" w:lineRule="auto"/>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any post-approval requirements, including the potential requirement to implement a Risk Evaluation and Mitigation Strategy, or REMS, and the potential requirement to conduct post-approval studies.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60" w:right="179" w:firstLine="441"/>
        <w:spacing w:after="0" w:line="293" w:lineRule="auto"/>
        <w:rPr>
          <w:sz w:val="20"/>
          <w:szCs w:val="20"/>
          <w:color w:val="auto"/>
        </w:rPr>
      </w:pPr>
      <w:r>
        <w:rPr>
          <w:rFonts w:ascii="Arial" w:cs="Arial" w:eastAsia="Arial" w:hAnsi="Arial"/>
          <w:sz w:val="16"/>
          <w:szCs w:val="16"/>
          <w:color w:val="auto"/>
        </w:rPr>
        <w:t xml:space="preserve">Preclinical studies include laboratory evaluation of the purity and stability of the manufactured drug substance or active pharmaceutical ingredient and the formulated product,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safety and activity of the investigational product for initial testing in humans and to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studies, among other things, are submitted to the FDA as part of an IND.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441"/>
        <w:spacing w:after="0" w:line="291" w:lineRule="auto"/>
        <w:rPr>
          <w:sz w:val="20"/>
          <w:szCs w:val="20"/>
          <w:color w:val="auto"/>
        </w:rPr>
      </w:pPr>
      <w:r>
        <w:rPr>
          <w:rFonts w:ascii="Arial" w:cs="Arial" w:eastAsia="Arial" w:hAnsi="Arial"/>
          <w:sz w:val="16"/>
          <w:szCs w:val="16"/>
          <w:color w:val="auto"/>
        </w:rPr>
        <w:t>Companies usually must complete some long-term preclinical testing, such as animal tests of reproductive adverse events and carcinogenicity, and must also develop additional information about the chemistry and physical characteristics of the investigational product and finalize a process for manufacturing the product in commercial quantities in accordance with cGMP requirements. The manufacturing process must be capable of consistently producing quality batches of the candidate product and, among other things, the manufacturer must develop methods for testing the identity, strength, quality and purity of the final product. Additionally, appropriate packaging must be selected and tested and stability studies must be conducted to demonstrate that the candidate product does not undergo unacceptable deterioration over its shelf life.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IND and IRB Processes</w:t>
      </w:r>
    </w:p>
    <w:p>
      <w:pPr>
        <w:spacing w:after="0" w:line="225" w:lineRule="exact"/>
        <w:rPr>
          <w:sz w:val="20"/>
          <w:szCs w:val="20"/>
          <w:color w:val="auto"/>
        </w:rPr>
      </w:pPr>
    </w:p>
    <w:p>
      <w:pPr>
        <w:ind w:left="60" w:right="99" w:firstLine="441"/>
        <w:spacing w:after="0" w:line="293"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164" w:lineRule="exact"/>
        <w:rPr>
          <w:sz w:val="20"/>
          <w:szCs w:val="20"/>
          <w:color w:val="auto"/>
        </w:rPr>
      </w:pPr>
    </w:p>
    <w:p>
      <w:pPr>
        <w:ind w:left="60" w:right="59" w:firstLine="441"/>
        <w:spacing w:after="0" w:line="268"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an investigational drug to humans. Such authorization must be secured prior to interstate shipment and administration of any new drug or biologic that is not the subject of an approved NDA or BLA. In support of a request for an IND, applicants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 For our intracanalicular insert product candidates, we have typically conducted our initial and earlier-stage clinical trials outside the United States. We generally plan to conduct our later stage and pivotal clinical trials of our intracanalicular insert product candidates in the United States.</w:t>
      </w:r>
    </w:p>
    <w:p>
      <w:pPr>
        <w:spacing w:after="0" w:line="186" w:lineRule="exact"/>
        <w:rPr>
          <w:sz w:val="20"/>
          <w:szCs w:val="20"/>
          <w:color w:val="auto"/>
        </w:rPr>
      </w:pPr>
    </w:p>
    <w:p>
      <w:pPr>
        <w:ind w:left="60" w:right="139" w:firstLine="441"/>
        <w:spacing w:after="0" w:line="272" w:lineRule="auto"/>
        <w:rPr>
          <w:sz w:val="20"/>
          <w:szCs w:val="20"/>
          <w:color w:val="auto"/>
        </w:rPr>
      </w:pPr>
      <w:r>
        <w:rPr>
          <w:rFonts w:ascii="Arial" w:cs="Arial" w:eastAsia="Arial" w:hAnsi="Arial"/>
          <w:sz w:val="17"/>
          <w:szCs w:val="17"/>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77" w:lineRule="exact"/>
        <w:rPr>
          <w:sz w:val="20"/>
          <w:szCs w:val="20"/>
          <w:color w:val="auto"/>
        </w:rPr>
      </w:pPr>
    </w:p>
    <w:p>
      <w:pPr>
        <w:ind w:left="60" w:right="99" w:firstLine="441"/>
        <w:spacing w:after="0" w:line="288" w:lineRule="auto"/>
        <w:rPr>
          <w:sz w:val="20"/>
          <w:szCs w:val="20"/>
          <w:color w:val="auto"/>
        </w:rPr>
      </w:pPr>
      <w:r>
        <w:rPr>
          <w:rFonts w:ascii="Arial" w:cs="Arial" w:eastAsia="Arial" w:hAnsi="Arial"/>
          <w:sz w:val="16"/>
          <w:szCs w:val="16"/>
          <w:color w:val="auto"/>
        </w:rPr>
        <w:t>The FDA’s primary objectives in reviewing an IND are to assure the safety and rights of patients and to help assure that the quality of the investigation will be adequate to permit an evaluation of the drug’s effectiveness and safety and of the biological product’s safety, purity and potency. The decision to terminate development of an investigational drug or biological product may be made by either a health authority body such as the FDA, an IRB or ethics committee, or by us for various reasons. Additionally, some trials are overseen by an independent group of qualified experts organized by the trial sponsor, known as a data safety monitoring board, or DSMB,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68" w:lineRule="exact"/>
        <w:rPr>
          <w:sz w:val="20"/>
          <w:szCs w:val="20"/>
          <w:color w:val="auto"/>
        </w:rPr>
      </w:pPr>
    </w:p>
    <w:p>
      <w:pPr>
        <w:ind w:left="60" w:right="139" w:firstLine="441"/>
        <w:spacing w:after="0" w:line="277" w:lineRule="auto"/>
        <w:rPr>
          <w:sz w:val="20"/>
          <w:szCs w:val="20"/>
          <w:color w:val="auto"/>
        </w:rPr>
      </w:pPr>
      <w:r>
        <w:rPr>
          <w:rFonts w:ascii="Arial" w:cs="Arial" w:eastAsia="Arial" w:hAnsi="Arial"/>
          <w:sz w:val="18"/>
          <w:szCs w:val="18"/>
          <w:color w:val="auto"/>
        </w:rPr>
        <w:t>Information about clinical trials must be submitted within specific timeframes to the National Institutes of Health, or NIH, for public dissemination on its ClinicalTrials.gov website.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225" w:lineRule="exact"/>
        <w:rPr>
          <w:sz w:val="20"/>
          <w:szCs w:val="20"/>
          <w:color w:val="auto"/>
        </w:rPr>
      </w:pPr>
    </w:p>
    <w:p>
      <w:pPr>
        <w:ind w:left="60" w:right="159" w:firstLine="441"/>
        <w:spacing w:after="0" w:line="271" w:lineRule="auto"/>
        <w:rPr>
          <w:sz w:val="20"/>
          <w:szCs w:val="20"/>
          <w:color w:val="auto"/>
        </w:rPr>
      </w:pPr>
      <w:r>
        <w:rPr>
          <w:rFonts w:ascii="Arial" w:cs="Arial" w:eastAsia="Arial" w:hAnsi="Arial"/>
          <w:sz w:val="17"/>
          <w:szCs w:val="17"/>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78" w:lineRule="exact"/>
        <w:rPr>
          <w:sz w:val="20"/>
          <w:szCs w:val="20"/>
          <w:color w:val="auto"/>
        </w:rPr>
      </w:pPr>
    </w:p>
    <w:p>
      <w:pPr>
        <w:ind w:left="60" w:right="159" w:firstLine="441"/>
        <w:spacing w:after="0" w:line="271" w:lineRule="auto"/>
        <w:rPr>
          <w:sz w:val="20"/>
          <w:szCs w:val="20"/>
          <w:color w:val="auto"/>
        </w:rPr>
      </w:pPr>
      <w:r>
        <w:rPr>
          <w:rFonts w:ascii="Arial" w:cs="Arial" w:eastAsia="Arial" w:hAnsi="Arial"/>
          <w:sz w:val="17"/>
          <w:szCs w:val="17"/>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spacing w:after="0" w:line="178" w:lineRule="exact"/>
        <w:rPr>
          <w:sz w:val="20"/>
          <w:szCs w:val="20"/>
          <w:color w:val="auto"/>
        </w:rPr>
      </w:pPr>
    </w:p>
    <w:p>
      <w:pPr>
        <w:ind w:left="60" w:right="339" w:firstLine="441"/>
        <w:spacing w:after="0" w:line="279" w:lineRule="auto"/>
        <w:rPr>
          <w:sz w:val="20"/>
          <w:szCs w:val="20"/>
          <w:color w:val="auto"/>
        </w:rPr>
      </w:pPr>
      <w:r>
        <w:rPr>
          <w:rFonts w:ascii="Arial" w:cs="Arial" w:eastAsia="Arial" w:hAnsi="Arial"/>
          <w:sz w:val="17"/>
          <w:szCs w:val="17"/>
          <w:color w:val="auto"/>
        </w:rPr>
        <w:t>Drug and biologic companies are required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171" w:lineRule="exact"/>
        <w:rPr>
          <w:sz w:val="20"/>
          <w:szCs w:val="20"/>
          <w:color w:val="auto"/>
        </w:rPr>
      </w:pPr>
    </w:p>
    <w:p>
      <w:pPr>
        <w:ind w:left="60" w:right="199" w:firstLine="441"/>
        <w:spacing w:after="0" w:line="254" w:lineRule="auto"/>
        <w:rPr>
          <w:sz w:val="20"/>
          <w:szCs w:val="20"/>
          <w:color w:val="auto"/>
        </w:rPr>
      </w:pPr>
      <w:r>
        <w:rPr>
          <w:rFonts w:ascii="Arial" w:cs="Arial" w:eastAsia="Arial" w:hAnsi="Arial"/>
          <w:sz w:val="18"/>
          <w:szCs w:val="18"/>
          <w:color w:val="auto"/>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Human Clinical Studies in Support of an NDA or BLA</w:t>
      </w:r>
    </w:p>
    <w:p>
      <w:pPr>
        <w:spacing w:after="0" w:line="225" w:lineRule="exact"/>
        <w:rPr>
          <w:sz w:val="20"/>
          <w:szCs w:val="20"/>
          <w:color w:val="auto"/>
        </w:rPr>
      </w:pPr>
    </w:p>
    <w:p>
      <w:pPr>
        <w:ind w:left="60" w:right="119" w:firstLine="441"/>
        <w:spacing w:after="0" w:line="296"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61" w:lineRule="exact"/>
        <w:rPr>
          <w:sz w:val="20"/>
          <w:szCs w:val="20"/>
          <w:color w:val="auto"/>
        </w:rPr>
      </w:pPr>
    </w:p>
    <w:p>
      <w:pPr>
        <w:ind w:left="60" w:right="139" w:firstLine="441"/>
        <w:spacing w:after="0" w:line="289" w:lineRule="auto"/>
        <w:rPr>
          <w:sz w:val="20"/>
          <w:szCs w:val="20"/>
          <w:color w:val="auto"/>
        </w:rPr>
      </w:pPr>
      <w:r>
        <w:rPr>
          <w:rFonts w:ascii="Arial" w:cs="Arial" w:eastAsia="Arial" w:hAnsi="Arial"/>
          <w:sz w:val="16"/>
          <w:szCs w:val="16"/>
          <w:color w:val="auto"/>
        </w:rPr>
        <w:t>A sponsor may choose, but is not required, to conduct a foreign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such trials to be conducted in accordance with GCP, including review and approval by an independent ethics committee and informed consent from subjects.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IND trials.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Human clinical trials are typically conducted in three sequential phases, which may overlap or be combined:</w:t>
      </w:r>
    </w:p>
    <w:p>
      <w:pPr>
        <w:spacing w:after="0" w:line="264" w:lineRule="exact"/>
        <w:rPr>
          <w:sz w:val="20"/>
          <w:szCs w:val="20"/>
          <w:color w:val="auto"/>
        </w:rPr>
      </w:pPr>
    </w:p>
    <w:p>
      <w:pPr>
        <w:ind w:left="840" w:right="139" w:hanging="331"/>
        <w:spacing w:after="0" w:line="311" w:lineRule="auto"/>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Phase 1: The drug or biologic is initially introduced into a small number of healthy human subjects or patients with the target disease or condition and tested for safety, dosage tolerance, absorption, metabolism, distribution, excretion and, if possible, to gain an early indication of its effectiveness and to determine optimal dosage.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40" w:right="159" w:hanging="331"/>
        <w:spacing w:after="0" w:line="263"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Phase 2: The drug or biologic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10" w:lineRule="exact"/>
        <w:rPr>
          <w:rFonts w:ascii="Arial" w:cs="Arial" w:eastAsia="Arial" w:hAnsi="Arial"/>
          <w:sz w:val="18"/>
          <w:szCs w:val="18"/>
          <w:color w:val="auto"/>
        </w:rPr>
      </w:pPr>
    </w:p>
    <w:p>
      <w:pPr>
        <w:ind w:left="840" w:right="139" w:hanging="331"/>
        <w:spacing w:after="0" w:line="259"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Phase 3: The drug or biologic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214" w:lineRule="exact"/>
        <w:rPr>
          <w:sz w:val="20"/>
          <w:szCs w:val="20"/>
          <w:color w:val="auto"/>
        </w:rPr>
      </w:pPr>
    </w:p>
    <w:p>
      <w:pPr>
        <w:ind w:left="60" w:right="159" w:firstLine="441"/>
        <w:spacing w:after="0" w:line="308" w:lineRule="auto"/>
        <w:rPr>
          <w:sz w:val="20"/>
          <w:szCs w:val="20"/>
          <w:color w:val="auto"/>
        </w:rPr>
      </w:pPr>
      <w:r>
        <w:rPr>
          <w:rFonts w:ascii="Arial" w:cs="Arial" w:eastAsia="Arial" w:hAnsi="Arial"/>
          <w:sz w:val="17"/>
          <w:szCs w:val="17"/>
          <w:color w:val="auto"/>
        </w:rPr>
        <w:t>Phase 3 clinical trials are commonly referred to as “pivotal” trials, which typically denotes a trial which presents the data that the FDA or other relevant regulatory agency will use to determine whether to approve a drug.</w:t>
      </w:r>
    </w:p>
    <w:p>
      <w:pPr>
        <w:spacing w:after="0" w:line="146" w:lineRule="exact"/>
        <w:rPr>
          <w:sz w:val="20"/>
          <w:szCs w:val="20"/>
          <w:color w:val="auto"/>
        </w:rPr>
      </w:pPr>
    </w:p>
    <w:p>
      <w:pPr>
        <w:ind w:left="60" w:right="119" w:firstLine="441"/>
        <w:spacing w:after="0" w:line="293" w:lineRule="auto"/>
        <w:rPr>
          <w:sz w:val="20"/>
          <w:szCs w:val="20"/>
          <w:color w:val="auto"/>
        </w:rPr>
      </w:pPr>
      <w:r>
        <w:rPr>
          <w:rFonts w:ascii="Arial" w:cs="Arial" w:eastAsia="Arial" w:hAnsi="Arial"/>
          <w:sz w:val="16"/>
          <w:szCs w:val="16"/>
          <w:color w:val="auto"/>
        </w:rPr>
        <w:t xml:space="preserve">Progress reports detailing the safety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product candidate; and any clinically important increase in the case of a serious suspected adverse reaction over that listed in the protocol or investigator brochure. The FDA will typically inspect one or more clinical sites to assure compliance with GCP and the integrity of the clinical data submitted.</w:t>
      </w:r>
    </w:p>
    <w:p>
      <w:pPr>
        <w:spacing w:after="0" w:line="164" w:lineRule="exact"/>
        <w:rPr>
          <w:sz w:val="20"/>
          <w:szCs w:val="20"/>
          <w:color w:val="auto"/>
        </w:rPr>
      </w:pPr>
    </w:p>
    <w:p>
      <w:pPr>
        <w:ind w:left="60" w:right="99" w:firstLine="441"/>
        <w:spacing w:after="0" w:line="272" w:lineRule="auto"/>
        <w:rPr>
          <w:sz w:val="20"/>
          <w:szCs w:val="20"/>
          <w:color w:val="auto"/>
        </w:rPr>
      </w:pPr>
      <w:r>
        <w:rPr>
          <w:rFonts w:ascii="Arial" w:cs="Arial" w:eastAsia="Arial" w:hAnsi="Arial"/>
          <w:sz w:val="17"/>
          <w:szCs w:val="17"/>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Pediatric Studies</w:t>
      </w:r>
    </w:p>
    <w:p>
      <w:pPr>
        <w:spacing w:after="0" w:line="225"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Under the Pediatric Research Equity Act of 2003, an application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Safety and Innovation Act, or the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drugs intended to treat a serious or life-threatening disease or condition, the FDA must, upon the request of an applicant, meet to discuss preparation of the initial pediatric study plan or to discuss deferral or waiver of pediatric assessments.</w:t>
      </w:r>
    </w:p>
    <w:p>
      <w:pPr>
        <w:spacing w:after="0" w:line="182" w:lineRule="exact"/>
        <w:rPr>
          <w:sz w:val="20"/>
          <w:szCs w:val="20"/>
          <w:color w:val="auto"/>
        </w:rPr>
      </w:pPr>
    </w:p>
    <w:p>
      <w:pPr>
        <w:ind w:left="60" w:right="239" w:firstLine="441"/>
        <w:spacing w:after="0" w:line="289" w:lineRule="auto"/>
        <w:rPr>
          <w:sz w:val="20"/>
          <w:szCs w:val="20"/>
          <w:color w:val="auto"/>
        </w:rPr>
      </w:pPr>
      <w:r>
        <w:rPr>
          <w:rFonts w:ascii="Arial" w:cs="Arial" w:eastAsia="Arial" w:hAnsi="Arial"/>
          <w:sz w:val="16"/>
          <w:szCs w:val="16"/>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or FDASIA. The FDA maintains a list of diseases that are exempt from PREA requirements due to low prevalence of disease in the pediatric population. Congress amended the FDA Reauthorization Act of 2017, or FDARA. Previously, drugs that had been granted orphan drug designation were exempt from the requirements of the Pediatric Research Equity Act. Under the amended section 505B, beginning on August 18, 2020, the submission of a pediatric assessment, waiver or deferral will be required for certain molecularly targeted cancer indications with the submission of an application or supplement to an application.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Review of an NDA or BLA by the FDA</w:t>
      </w:r>
    </w:p>
    <w:p>
      <w:pPr>
        <w:spacing w:after="0" w:line="225"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color w:val="auto"/>
        </w:rPr>
        <w:t>In order to obtain approval to market a drug or biological product in the United States, a marketing application must be submitted to the FDA that provides data establishing the safety and effectiveness of the proposed drug product for the proposed indication, and the safety, purity and potency of the biological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and the safety, purity and potency of the biological product to the satisfaction of the FDA.</w:t>
      </w:r>
    </w:p>
    <w:p>
      <w:pPr>
        <w:spacing w:after="0" w:line="185" w:lineRule="exact"/>
        <w:rPr>
          <w:sz w:val="20"/>
          <w:szCs w:val="20"/>
          <w:color w:val="auto"/>
        </w:rPr>
      </w:pPr>
    </w:p>
    <w:p>
      <w:pPr>
        <w:ind w:left="60" w:right="79" w:firstLine="441"/>
        <w:spacing w:after="0" w:line="291" w:lineRule="auto"/>
        <w:rPr>
          <w:sz w:val="20"/>
          <w:szCs w:val="20"/>
          <w:color w:val="auto"/>
        </w:rPr>
      </w:pPr>
      <w:r>
        <w:rPr>
          <w:rFonts w:ascii="Arial" w:cs="Arial" w:eastAsia="Arial" w:hAnsi="Arial"/>
          <w:sz w:val="16"/>
          <w:szCs w:val="16"/>
          <w:color w:val="auto"/>
        </w:rPr>
        <w:t>The NDA and BLA are thus the vehicles through which applicants formally propose that the FDA approve a new product for marketing and sale in the United States for one or more indications. Every new product candidate must be the subject of an approved NDA or BLA before it may be commercialized in the United States. Under federal law, the submission of most applications is subject to an application user fee, which for federal fiscal year 2021 is $2,875,842 for an application requiring clinical data. The sponsor of an approved application is also subject to an annual program fee, which for fiscal year 2021 is $336,432. Certain exceptions and waivers are available for some of these fees, such as an exception from the application fee for product candidates with orphan designation and a waiver for certain small businesses.</w:t>
      </w:r>
    </w:p>
    <w:p>
      <w:pPr>
        <w:spacing w:after="0" w:line="166" w:lineRule="exact"/>
        <w:rPr>
          <w:sz w:val="20"/>
          <w:szCs w:val="20"/>
          <w:color w:val="auto"/>
        </w:rPr>
      </w:pPr>
    </w:p>
    <w:p>
      <w:pPr>
        <w:ind w:left="60" w:right="159" w:firstLine="441"/>
        <w:spacing w:after="0" w:line="268" w:lineRule="auto"/>
        <w:rPr>
          <w:sz w:val="20"/>
          <w:szCs w:val="20"/>
          <w:color w:val="auto"/>
        </w:rPr>
      </w:pPr>
      <w:r>
        <w:rPr>
          <w:rFonts w:ascii="Arial" w:cs="Arial" w:eastAsia="Arial" w:hAnsi="Arial"/>
          <w:sz w:val="17"/>
          <w:szCs w:val="17"/>
          <w:color w:val="auto"/>
        </w:rPr>
        <w:t>Following submission of an NDA or BLA, the FDA conducts a preliminary review of the application generally within 60 calendar days of its receipt and strives to inform the sponsor by the 74th day after the FDA’s receipt of the submission to determine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and BLAs. Under that agreement, 90% of applications seeking approval of New Molecular Entities, or NMEs, are meant to be reviewed within ten months from the date on which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FDA receives the application. The review process and the Prescription Drug User Fee Act goal date may be extended by the FDA for three additional months to consider new information or clarification provided by the applicant to address an outstanding deficiency identified by the FDA following the original submission.</w:t>
      </w:r>
    </w:p>
    <w:p>
      <w:pPr>
        <w:spacing w:after="0" w:line="184"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color w:val="auto"/>
        </w:rPr>
        <w:t>Before approving an application, the FDA typically will inspect the facility or facilities where the product is or will be manufactured. These pre-approval inspections may cover all facilities associated with an NDA or BLA submission, including drug component manufacturing (e.g., active pharmaceutical ingredients),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185" w:lineRule="exact"/>
        <w:rPr>
          <w:sz w:val="20"/>
          <w:szCs w:val="20"/>
          <w:color w:val="auto"/>
        </w:rPr>
      </w:pPr>
    </w:p>
    <w:p>
      <w:pPr>
        <w:ind w:left="60" w:right="159" w:firstLine="441"/>
        <w:spacing w:after="0" w:line="275" w:lineRule="auto"/>
        <w:rPr>
          <w:sz w:val="20"/>
          <w:szCs w:val="20"/>
          <w:color w:val="auto"/>
        </w:rPr>
      </w:pPr>
      <w:r>
        <w:rPr>
          <w:rFonts w:ascii="Arial" w:cs="Arial" w:eastAsia="Arial" w:hAnsi="Arial"/>
          <w:sz w:val="17"/>
          <w:szCs w:val="17"/>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76" w:lineRule="exact"/>
        <w:rPr>
          <w:sz w:val="20"/>
          <w:szCs w:val="20"/>
          <w:color w:val="auto"/>
        </w:rPr>
      </w:pPr>
    </w:p>
    <w:p>
      <w:pPr>
        <w:jc w:val="both"/>
        <w:ind w:left="60" w:right="79" w:firstLine="441"/>
        <w:spacing w:after="0" w:line="311" w:lineRule="auto"/>
        <w:rPr>
          <w:sz w:val="20"/>
          <w:szCs w:val="20"/>
          <w:color w:val="auto"/>
        </w:rPr>
      </w:pPr>
      <w:r>
        <w:rPr>
          <w:rFonts w:ascii="Arial" w:cs="Arial" w:eastAsia="Arial" w:hAnsi="Arial"/>
          <w:sz w:val="16"/>
          <w:szCs w:val="16"/>
          <w:color w:val="auto"/>
        </w:rPr>
        <w:t>The FDA may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Accelerated Approval Pathway</w:t>
      </w:r>
    </w:p>
    <w:p>
      <w:pPr>
        <w:spacing w:after="0" w:line="225" w:lineRule="exact"/>
        <w:rPr>
          <w:sz w:val="20"/>
          <w:szCs w:val="20"/>
          <w:color w:val="auto"/>
        </w:rPr>
      </w:pPr>
    </w:p>
    <w:p>
      <w:pPr>
        <w:ind w:left="60" w:right="359" w:firstLine="441"/>
        <w:spacing w:after="0" w:line="290" w:lineRule="auto"/>
        <w:rPr>
          <w:sz w:val="20"/>
          <w:szCs w:val="20"/>
          <w:color w:val="auto"/>
        </w:rPr>
      </w:pPr>
      <w:r>
        <w:rPr>
          <w:rFonts w:ascii="Arial" w:cs="Arial" w:eastAsia="Arial" w:hAnsi="Arial"/>
          <w:sz w:val="16"/>
          <w:szCs w:val="16"/>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65" w:lineRule="exact"/>
        <w:rPr>
          <w:sz w:val="20"/>
          <w:szCs w:val="20"/>
          <w:color w:val="auto"/>
        </w:rPr>
      </w:pPr>
    </w:p>
    <w:p>
      <w:pPr>
        <w:ind w:left="60" w:right="79" w:firstLine="441"/>
        <w:spacing w:after="0" w:line="290" w:lineRule="auto"/>
        <w:rPr>
          <w:sz w:val="20"/>
          <w:szCs w:val="20"/>
          <w:color w:val="auto"/>
        </w:rPr>
      </w:pPr>
      <w:r>
        <w:rPr>
          <w:rFonts w:ascii="Arial" w:cs="Arial" w:eastAsia="Arial" w:hAnsi="Arial"/>
          <w:sz w:val="16"/>
          <w:szCs w:val="16"/>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65" w:lineRule="exact"/>
        <w:rPr>
          <w:sz w:val="20"/>
          <w:szCs w:val="20"/>
          <w:color w:val="auto"/>
        </w:rPr>
      </w:pPr>
    </w:p>
    <w:p>
      <w:pPr>
        <w:ind w:left="60" w:right="159" w:firstLine="441"/>
        <w:spacing w:after="0" w:line="289" w:lineRule="auto"/>
        <w:rPr>
          <w:sz w:val="20"/>
          <w:szCs w:val="20"/>
          <w:color w:val="auto"/>
        </w:rPr>
      </w:pPr>
      <w:r>
        <w:rPr>
          <w:rFonts w:ascii="Arial" w:cs="Arial" w:eastAsia="Arial" w:hAnsi="Arial"/>
          <w:sz w:val="16"/>
          <w:szCs w:val="16"/>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The accelerated approval pathway is usually contingent on a sponsor’s agreement to conduct, in a diligent manner, additional post-approval confirmatory studies to verify and describe the drug’s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product candidates approved under accelerated regulations are subject to prior review by the FDA.</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FDA’s Decision on an Application</w:t>
      </w:r>
    </w:p>
    <w:p>
      <w:pPr>
        <w:spacing w:after="0" w:line="225" w:lineRule="exact"/>
        <w:rPr>
          <w:sz w:val="20"/>
          <w:szCs w:val="20"/>
          <w:color w:val="auto"/>
        </w:rPr>
      </w:pPr>
    </w:p>
    <w:p>
      <w:pPr>
        <w:ind w:left="60" w:right="179" w:firstLine="441"/>
        <w:spacing w:after="0" w:line="270"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or CRL. An approval letter authorizes commercial marketing of the product with specific prescribing information for specific indications. A CRL generally outlines the deficiencies in the submission and may require substantial additional testing or information in order for the FDA to reconsider the application. If and when those deficiencies have been addressed to the FDA’s satisfaction in a resubmission of the application,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81" w:lineRule="exact"/>
        <w:rPr>
          <w:sz w:val="20"/>
          <w:szCs w:val="20"/>
          <w:color w:val="auto"/>
        </w:rPr>
      </w:pPr>
    </w:p>
    <w:p>
      <w:pPr>
        <w:ind w:left="60" w:right="99" w:firstLine="441"/>
        <w:spacing w:after="0" w:line="270" w:lineRule="auto"/>
        <w:rPr>
          <w:sz w:val="20"/>
          <w:szCs w:val="20"/>
          <w:color w:val="auto"/>
        </w:rPr>
      </w:pPr>
      <w:r>
        <w:rPr>
          <w:rFonts w:ascii="Arial" w:cs="Arial" w:eastAsia="Arial" w:hAnsi="Arial"/>
          <w:sz w:val="17"/>
          <w:szCs w:val="17"/>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product candidate’s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ind w:left="60" w:right="99" w:firstLine="441"/>
        <w:spacing w:after="0" w:line="254"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95" w:lineRule="exact"/>
        <w:rPr>
          <w:sz w:val="20"/>
          <w:szCs w:val="20"/>
          <w:color w:val="auto"/>
        </w:rPr>
      </w:pPr>
    </w:p>
    <w:p>
      <w:pPr>
        <w:ind w:left="60" w:right="219" w:firstLine="441"/>
        <w:spacing w:after="0" w:line="291" w:lineRule="auto"/>
        <w:rPr>
          <w:sz w:val="20"/>
          <w:szCs w:val="20"/>
          <w:color w:val="auto"/>
        </w:rPr>
      </w:pPr>
      <w:r>
        <w:rPr>
          <w:rFonts w:ascii="Arial" w:cs="Arial" w:eastAsia="Arial" w:hAnsi="Arial"/>
          <w:sz w:val="16"/>
          <w:szCs w:val="16"/>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6" w:lineRule="exact"/>
        <w:rPr>
          <w:sz w:val="20"/>
          <w:szCs w:val="20"/>
          <w:color w:val="auto"/>
        </w:rPr>
      </w:pPr>
    </w:p>
    <w:p>
      <w:pPr>
        <w:ind w:left="60" w:right="179" w:firstLine="441"/>
        <w:spacing w:after="0" w:line="293" w:lineRule="auto"/>
        <w:rPr>
          <w:sz w:val="20"/>
          <w:szCs w:val="20"/>
          <w:color w:val="auto"/>
        </w:rPr>
      </w:pPr>
      <w:r>
        <w:rPr>
          <w:rFonts w:ascii="Arial" w:cs="Arial" w:eastAsia="Arial" w:hAnsi="Arial"/>
          <w:sz w:val="16"/>
          <w:szCs w:val="16"/>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64" w:lineRule="exact"/>
        <w:rPr>
          <w:sz w:val="20"/>
          <w:szCs w:val="20"/>
          <w:color w:val="auto"/>
        </w:rPr>
      </w:pPr>
    </w:p>
    <w:p>
      <w:pPr>
        <w:ind w:left="60" w:right="159" w:firstLine="441"/>
        <w:spacing w:after="0" w:line="293"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64" w:lineRule="exact"/>
        <w:rPr>
          <w:sz w:val="20"/>
          <w:szCs w:val="20"/>
          <w:color w:val="auto"/>
        </w:rPr>
      </w:pPr>
    </w:p>
    <w:p>
      <w:pPr>
        <w:ind w:left="840" w:right="159" w:hanging="331"/>
        <w:spacing w:after="0" w:line="27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complete withdrawal of the product from the market or product recalls;</w:t>
      </w:r>
    </w:p>
    <w:p>
      <w:pPr>
        <w:spacing w:after="0" w:line="197" w:lineRule="exact"/>
        <w:rPr>
          <w:rFonts w:ascii="Arial" w:cs="Arial" w:eastAsia="Arial" w:hAnsi="Arial"/>
          <w:sz w:val="18"/>
          <w:szCs w:val="18"/>
          <w:color w:val="auto"/>
        </w:rPr>
      </w:pPr>
    </w:p>
    <w:p>
      <w:pPr>
        <w:ind w:left="840" w:hanging="331"/>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52" w:lineRule="exact"/>
        <w:rPr>
          <w:rFonts w:ascii="Arial" w:cs="Arial" w:eastAsia="Arial" w:hAnsi="Arial"/>
          <w:sz w:val="18"/>
          <w:szCs w:val="18"/>
          <w:color w:val="auto"/>
        </w:rPr>
      </w:pPr>
    </w:p>
    <w:p>
      <w:pPr>
        <w:ind w:left="840" w:right="79" w:hanging="331"/>
        <w:spacing w:after="0" w:line="27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license approvals;</w:t>
      </w:r>
    </w:p>
    <w:p>
      <w:pPr>
        <w:spacing w:after="0" w:line="197" w:lineRule="exact"/>
        <w:rPr>
          <w:rFonts w:ascii="Arial" w:cs="Arial" w:eastAsia="Arial" w:hAnsi="Arial"/>
          <w:sz w:val="18"/>
          <w:szCs w:val="18"/>
          <w:color w:val="auto"/>
        </w:rPr>
      </w:pPr>
    </w:p>
    <w:p>
      <w:pPr>
        <w:ind w:left="840" w:hanging="331"/>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840" w:hanging="331"/>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left="60" w:right="99" w:firstLine="441"/>
        <w:spacing w:after="0" w:line="272"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41"/>
        <w:spacing w:after="0" w:line="293" w:lineRule="auto"/>
        <w:rPr>
          <w:sz w:val="20"/>
          <w:szCs w:val="20"/>
          <w:color w:val="auto"/>
        </w:rPr>
      </w:pPr>
      <w:r>
        <w:rPr>
          <w:rFonts w:ascii="Arial" w:cs="Arial" w:eastAsia="Arial" w:hAnsi="Arial"/>
          <w:sz w:val="16"/>
          <w:szCs w:val="16"/>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drugs and prescription drug samples at the federal level, and set minimum standards for the regulation of drug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Section 505(b)(2) NDAs</w:t>
      </w:r>
    </w:p>
    <w:p>
      <w:pPr>
        <w:spacing w:after="0" w:line="225" w:lineRule="exact"/>
        <w:rPr>
          <w:sz w:val="20"/>
          <w:szCs w:val="20"/>
          <w:color w:val="auto"/>
        </w:rPr>
      </w:pPr>
    </w:p>
    <w:p>
      <w:pPr>
        <w:ind w:left="60" w:right="99" w:firstLine="441"/>
        <w:spacing w:after="0" w:line="271" w:lineRule="auto"/>
        <w:rPr>
          <w:sz w:val="20"/>
          <w:szCs w:val="20"/>
          <w:color w:val="auto"/>
        </w:rPr>
      </w:pPr>
      <w:r>
        <w:rPr>
          <w:rFonts w:ascii="Arial" w:cs="Arial" w:eastAsia="Arial" w:hAnsi="Arial"/>
          <w:sz w:val="17"/>
          <w:szCs w:val="17"/>
          <w:color w:val="auto"/>
        </w:rPr>
        <w:t>NDAs for most new drug products are based on two full clinical studies which must contain substantial evidence of the safety and efficacy of the proposed new product.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78" w:lineRule="exact"/>
        <w:rPr>
          <w:sz w:val="20"/>
          <w:szCs w:val="20"/>
          <w:color w:val="auto"/>
        </w:rPr>
      </w:pPr>
    </w:p>
    <w:p>
      <w:pPr>
        <w:ind w:left="60" w:right="99" w:firstLine="441"/>
        <w:spacing w:after="0" w:line="290" w:lineRule="auto"/>
        <w:rPr>
          <w:sz w:val="20"/>
          <w:szCs w:val="20"/>
          <w:color w:val="auto"/>
        </w:rPr>
      </w:pPr>
      <w:r>
        <w:rPr>
          <w:rFonts w:ascii="Arial" w:cs="Arial" w:eastAsia="Arial" w:hAnsi="Arial"/>
          <w:sz w:val="16"/>
          <w:szCs w:val="16"/>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165" w:lineRule="exact"/>
        <w:rPr>
          <w:sz w:val="20"/>
          <w:szCs w:val="20"/>
          <w:color w:val="auto"/>
        </w:rPr>
      </w:pPr>
    </w:p>
    <w:p>
      <w:pPr>
        <w:ind w:left="60" w:right="339" w:firstLine="441"/>
        <w:spacing w:after="0" w:line="277" w:lineRule="auto"/>
        <w:rPr>
          <w:sz w:val="20"/>
          <w:szCs w:val="20"/>
          <w:color w:val="auto"/>
        </w:rPr>
      </w:pPr>
      <w:r>
        <w:rPr>
          <w:rFonts w:ascii="Arial" w:cs="Arial" w:eastAsia="Arial" w:hAnsi="Arial"/>
          <w:sz w:val="18"/>
          <w:szCs w:val="18"/>
          <w:color w:val="auto"/>
        </w:rPr>
        <w:t>If we obtain favorable results in our clinical trials, we plan to submit NDAs for our intracanalicular insert product candidates under Section 505(b)(2).</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225" w:lineRule="exact"/>
        <w:rPr>
          <w:sz w:val="20"/>
          <w:szCs w:val="20"/>
          <w:color w:val="auto"/>
        </w:rPr>
      </w:pPr>
    </w:p>
    <w:p>
      <w:pPr>
        <w:ind w:left="60" w:right="299" w:firstLine="441"/>
        <w:spacing w:after="0" w:line="342" w:lineRule="auto"/>
        <w:rPr>
          <w:sz w:val="20"/>
          <w:szCs w:val="20"/>
          <w:color w:val="auto"/>
        </w:rPr>
      </w:pPr>
      <w:r>
        <w:rPr>
          <w:rFonts w:ascii="Arial" w:cs="Arial" w:eastAsia="Arial" w:hAnsi="Arial"/>
          <w:sz w:val="16"/>
          <w:szCs w:val="16"/>
          <w:color w:val="auto"/>
        </w:rPr>
        <w:t>In 1984, with passage of the Hatch-Waxman Amendments to the FDCA, Congress authorized the FDA to approve generic drugs that are the same as drugs previously approved by the FDA under the NDA provisions of the statute.</w:t>
      </w:r>
    </w:p>
    <w:p>
      <w:pPr>
        <w:spacing w:after="0" w:line="124" w:lineRule="exact"/>
        <w:rPr>
          <w:sz w:val="20"/>
          <w:szCs w:val="20"/>
          <w:color w:val="auto"/>
        </w:rPr>
      </w:pPr>
    </w:p>
    <w:p>
      <w:pPr>
        <w:ind w:left="60" w:right="119" w:firstLine="441"/>
        <w:spacing w:after="0" w:line="255" w:lineRule="auto"/>
        <w:rPr>
          <w:sz w:val="20"/>
          <w:szCs w:val="20"/>
          <w:color w:val="auto"/>
        </w:rPr>
      </w:pPr>
      <w:r>
        <w:rPr>
          <w:rFonts w:ascii="Arial" w:cs="Arial" w:eastAsia="Arial" w:hAnsi="Arial"/>
          <w:sz w:val="18"/>
          <w:szCs w:val="18"/>
          <w:color w:val="auto"/>
        </w:rPr>
        <w:t>Specifically, in order for an abbreviated new drug application, or ANDA, to be approved, the FDA must find that the generic version is identical to the reference listed drug, or RLD, with respect to the active ingredients, the route of administration, the dosage form, and the strength of the drug. At the same time, the FDA must also determine that the generic drug is “bioequivalent” to the innovator drug. Under the statute, a generic drug is bioequivalent to an RLD if “the rate and extent of absorption of the drug do not show a significant difference from the rate and extent of absorption of the listed drug.”</w:t>
      </w:r>
    </w:p>
    <w:p>
      <w:pPr>
        <w:spacing w:after="0" w:line="192" w:lineRule="exact"/>
        <w:rPr>
          <w:sz w:val="20"/>
          <w:szCs w:val="20"/>
          <w:color w:val="auto"/>
        </w:rPr>
      </w:pPr>
    </w:p>
    <w:p>
      <w:pPr>
        <w:ind w:left="60" w:right="159" w:firstLine="441"/>
        <w:spacing w:after="0" w:line="255" w:lineRule="auto"/>
        <w:rPr>
          <w:sz w:val="20"/>
          <w:szCs w:val="20"/>
          <w:color w:val="auto"/>
        </w:rPr>
      </w:pPr>
      <w:r>
        <w:rPr>
          <w:rFonts w:ascii="Arial" w:cs="Arial" w:eastAsia="Arial" w:hAnsi="Arial"/>
          <w:sz w:val="18"/>
          <w:szCs w:val="18"/>
          <w:color w:val="auto"/>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92" w:lineRule="exact"/>
        <w:rPr>
          <w:sz w:val="20"/>
          <w:szCs w:val="20"/>
          <w:color w:val="auto"/>
        </w:rPr>
      </w:pPr>
    </w:p>
    <w:p>
      <w:pPr>
        <w:ind w:left="60" w:right="159" w:firstLine="441"/>
        <w:spacing w:after="0" w:line="291" w:lineRule="auto"/>
        <w:rPr>
          <w:sz w:val="20"/>
          <w:szCs w:val="20"/>
          <w:color w:val="auto"/>
        </w:rPr>
      </w:pPr>
      <w:r>
        <w:rPr>
          <w:rFonts w:ascii="Arial" w:cs="Arial" w:eastAsia="Arial" w:hAnsi="Arial"/>
          <w:sz w:val="16"/>
          <w:szCs w:val="16"/>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An NCE is a drug that contains no active moiety that has previously been approved by the FDA in any other NDA. An active moiety is the molecule or ion responsible for the physiological or pharmacological action of the drug substance.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171" w:lineRule="exact"/>
        <w:rPr>
          <w:sz w:val="20"/>
          <w:szCs w:val="20"/>
          <w:color w:val="auto"/>
        </w:rPr>
      </w:pPr>
    </w:p>
    <w:p>
      <w:pPr>
        <w:ind w:left="60" w:right="79" w:firstLine="441"/>
        <w:spacing w:after="0" w:line="270" w:lineRule="auto"/>
        <w:rPr>
          <w:sz w:val="20"/>
          <w:szCs w:val="20"/>
          <w:color w:val="auto"/>
        </w:rPr>
      </w:pPr>
      <w:r>
        <w:rPr>
          <w:rFonts w:ascii="Arial" w:cs="Arial" w:eastAsia="Arial" w:hAnsi="Arial"/>
          <w:sz w:val="17"/>
          <w:szCs w:val="17"/>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225" w:lineRule="exact"/>
        <w:rPr>
          <w:sz w:val="20"/>
          <w:szCs w:val="20"/>
          <w:color w:val="auto"/>
        </w:rPr>
      </w:pPr>
    </w:p>
    <w:p>
      <w:pPr>
        <w:ind w:left="60" w:right="99" w:firstLine="441"/>
        <w:spacing w:after="0" w:line="285" w:lineRule="auto"/>
        <w:rPr>
          <w:sz w:val="20"/>
          <w:szCs w:val="20"/>
          <w:color w:val="auto"/>
        </w:rPr>
      </w:pPr>
      <w:r>
        <w:rPr>
          <w:rFonts w:ascii="Arial" w:cs="Arial" w:eastAsia="Arial" w:hAnsi="Arial"/>
          <w:sz w:val="16"/>
          <w:szCs w:val="16"/>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to the FDA, the applicant is required to certify to the FDA concerning any patents listed for the reference product in the Orange Book, except for patents covering methods of use for which the ANDA applicant is not seeking approval. To the extent that the</w:t>
      </w:r>
    </w:p>
    <w:p>
      <w:pPr>
        <w:spacing w:after="0" w:line="2" w:lineRule="exact"/>
        <w:rPr>
          <w:sz w:val="20"/>
          <w:szCs w:val="20"/>
          <w:color w:val="auto"/>
        </w:rPr>
      </w:pPr>
    </w:p>
    <w:p>
      <w:pPr>
        <w:jc w:val="both"/>
        <w:ind w:left="60" w:right="339"/>
        <w:spacing w:after="0" w:line="255" w:lineRule="auto"/>
        <w:rPr>
          <w:sz w:val="20"/>
          <w:szCs w:val="20"/>
          <w:color w:val="auto"/>
        </w:rPr>
      </w:pPr>
      <w:r>
        <w:rPr>
          <w:rFonts w:ascii="Arial" w:cs="Arial" w:eastAsia="Arial" w:hAnsi="Arial"/>
          <w:sz w:val="18"/>
          <w:szCs w:val="18"/>
          <w:color w:val="auto"/>
        </w:rPr>
        <w:t>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225" w:lineRule="exact"/>
        <w:rPr>
          <w:sz w:val="20"/>
          <w:szCs w:val="20"/>
          <w:color w:val="auto"/>
        </w:rPr>
      </w:pPr>
    </w:p>
    <w:p>
      <w:pPr>
        <w:ind w:left="840" w:hanging="331"/>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252" w:lineRule="exact"/>
        <w:rPr>
          <w:rFonts w:ascii="Arial" w:cs="Arial" w:eastAsia="Arial" w:hAnsi="Arial"/>
          <w:sz w:val="18"/>
          <w:szCs w:val="18"/>
          <w:color w:val="auto"/>
        </w:rPr>
      </w:pPr>
    </w:p>
    <w:p>
      <w:pPr>
        <w:ind w:left="840" w:hanging="331"/>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252" w:lineRule="exact"/>
        <w:rPr>
          <w:rFonts w:ascii="Arial" w:cs="Arial" w:eastAsia="Arial" w:hAnsi="Arial"/>
          <w:sz w:val="18"/>
          <w:szCs w:val="18"/>
          <w:color w:val="auto"/>
        </w:rPr>
      </w:pPr>
    </w:p>
    <w:p>
      <w:pPr>
        <w:ind w:left="840" w:right="799" w:hanging="331"/>
        <w:spacing w:after="0" w:line="277"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97" w:lineRule="exact"/>
        <w:rPr>
          <w:rFonts w:ascii="Arial" w:cs="Arial" w:eastAsia="Arial" w:hAnsi="Arial"/>
          <w:sz w:val="18"/>
          <w:szCs w:val="18"/>
          <w:color w:val="auto"/>
        </w:rPr>
      </w:pPr>
    </w:p>
    <w:p>
      <w:pPr>
        <w:ind w:left="840" w:hanging="331"/>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ind w:left="60" w:right="199" w:firstLine="441"/>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w:t>
      </w:r>
    </w:p>
    <w:p>
      <w:pPr>
        <w:spacing w:after="0" w:line="187" w:lineRule="exact"/>
        <w:rPr>
          <w:sz w:val="20"/>
          <w:szCs w:val="20"/>
          <w:color w:val="auto"/>
        </w:rPr>
      </w:pPr>
    </w:p>
    <w:p>
      <w:pPr>
        <w:ind w:left="60" w:right="59" w:firstLine="441"/>
        <w:spacing w:after="0" w:line="254" w:lineRule="auto"/>
        <w:rPr>
          <w:sz w:val="20"/>
          <w:szCs w:val="20"/>
          <w:color w:val="auto"/>
        </w:rPr>
      </w:pPr>
      <w:r>
        <w:rPr>
          <w:rFonts w:ascii="Arial" w:cs="Arial" w:eastAsia="Arial" w:hAnsi="Arial"/>
          <w:sz w:val="18"/>
          <w:szCs w:val="18"/>
          <w:color w:val="auto"/>
        </w:rPr>
        <w:t>If the ANDA applicant or 505(b)(2)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95" w:lineRule="exact"/>
        <w:rPr>
          <w:sz w:val="20"/>
          <w:szCs w:val="20"/>
          <w:color w:val="auto"/>
        </w:rPr>
      </w:pPr>
    </w:p>
    <w:p>
      <w:pPr>
        <w:ind w:left="60" w:right="79" w:firstLine="441"/>
        <w:spacing w:after="0" w:line="291" w:lineRule="auto"/>
        <w:rPr>
          <w:sz w:val="20"/>
          <w:szCs w:val="20"/>
          <w:color w:val="auto"/>
        </w:rPr>
      </w:pPr>
      <w:r>
        <w:rPr>
          <w:rFonts w:ascii="Arial" w:cs="Arial" w:eastAsia="Arial" w:hAnsi="Arial"/>
          <w:sz w:val="16"/>
          <w:szCs w:val="16"/>
          <w:color w:val="auto"/>
        </w:rPr>
        <w:t>To the extent that the Section 505(b)(2) applicant is relying on trials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Biosimilars</w:t>
      </w:r>
    </w:p>
    <w:p>
      <w:pPr>
        <w:spacing w:after="0" w:line="225" w:lineRule="exact"/>
        <w:rPr>
          <w:sz w:val="20"/>
          <w:szCs w:val="20"/>
          <w:color w:val="auto"/>
        </w:rPr>
      </w:pPr>
    </w:p>
    <w:p>
      <w:pPr>
        <w:ind w:left="60" w:right="139" w:firstLine="441"/>
        <w:spacing w:after="0" w:line="273" w:lineRule="auto"/>
        <w:rPr>
          <w:sz w:val="20"/>
          <w:szCs w:val="20"/>
          <w:color w:val="auto"/>
        </w:rPr>
      </w:pPr>
      <w:r>
        <w:rPr>
          <w:rFonts w:ascii="Arial" w:cs="Arial" w:eastAsia="Arial" w:hAnsi="Arial"/>
          <w:sz w:val="17"/>
          <w:szCs w:val="17"/>
          <w:color w:val="auto"/>
        </w:rPr>
        <w:t>The 2010 Patient Protection and Affordable Care Act, which was signed into law on March 23, 2010, or ACA, included a subtitle called the Biologics Price Competition and Innovation Act of 2009 or BPCIA. That Act established a regulatory scheme authorizing the FDA to approve biosimilars and interchangeable biosimilars. As of January 1, 2021, the FDA has approved 29 biosimilar products for use in the United States. No interchangeable biosimilars, however, have been approved. The FDA has issued several guidance documents outlining an approach to review and approval of biosimilars. Additional guidance is expected to be finalized by FDA in the near term.</w:t>
      </w:r>
    </w:p>
    <w:p>
      <w:pPr>
        <w:spacing w:after="0" w:line="178" w:lineRule="exact"/>
        <w:rPr>
          <w:sz w:val="20"/>
          <w:szCs w:val="20"/>
          <w:color w:val="auto"/>
        </w:rPr>
      </w:pPr>
    </w:p>
    <w:p>
      <w:pPr>
        <w:ind w:left="60" w:right="119" w:firstLine="441"/>
        <w:spacing w:after="0" w:line="271" w:lineRule="auto"/>
        <w:rPr>
          <w:sz w:val="20"/>
          <w:szCs w:val="20"/>
          <w:color w:val="auto"/>
        </w:rPr>
      </w:pPr>
      <w:r>
        <w:rPr>
          <w:rFonts w:ascii="Arial" w:cs="Arial" w:eastAsia="Arial" w:hAnsi="Arial"/>
          <w:sz w:val="17"/>
          <w:szCs w:val="17"/>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78" w:lineRule="exact"/>
        <w:rPr>
          <w:sz w:val="20"/>
          <w:szCs w:val="20"/>
          <w:color w:val="auto"/>
        </w:rPr>
      </w:pPr>
    </w:p>
    <w:p>
      <w:pPr>
        <w:ind w:left="60" w:right="79" w:firstLine="441"/>
        <w:spacing w:after="0" w:line="253"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Pediatric Exclusivity</w:t>
      </w:r>
    </w:p>
    <w:p>
      <w:pPr>
        <w:spacing w:after="0" w:line="225"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an ANDA or 505(b)(2) applicant submitted a paragraph IV patent certification, unless the NDA sponsor or patent owner first obtains a court determination that the patent is valid and infringed by the proposed product.</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225"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United States Patent and Trademark Office reviews and approves the application for any patent term extension or restoration in consultation with the FDA.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Review and Approval of Medical Devices in the United States</w:t>
      </w:r>
    </w:p>
    <w:p>
      <w:pPr>
        <w:spacing w:after="0" w:line="225" w:lineRule="exact"/>
        <w:rPr>
          <w:sz w:val="20"/>
          <w:szCs w:val="20"/>
          <w:color w:val="auto"/>
        </w:rPr>
      </w:pPr>
    </w:p>
    <w:p>
      <w:pPr>
        <w:ind w:left="60" w:right="79" w:firstLine="441"/>
        <w:spacing w:after="0" w:line="289" w:lineRule="auto"/>
        <w:rPr>
          <w:sz w:val="20"/>
          <w:szCs w:val="20"/>
          <w:color w:val="auto"/>
        </w:rPr>
      </w:pPr>
      <w:r>
        <w:rPr>
          <w:rFonts w:ascii="Arial" w:cs="Arial" w:eastAsia="Arial" w:hAnsi="Arial"/>
          <w:sz w:val="16"/>
          <w:szCs w:val="16"/>
          <w:color w:val="auto"/>
        </w:rPr>
        <w:t xml:space="preserve">Medical devices in the United States are strictly regulated by the FDA. Under the FDCA, a medical device is defined as an instrument, apparatus, implement, machine, contrivance, implant,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 regulated products such as drugs. If the primary intended use of the product is achieved through chemical action or by being metabolized by the body, the product is usually a drug. If not, it is generally a medical device.</w:t>
      </w:r>
    </w:p>
    <w:p>
      <w:pPr>
        <w:spacing w:after="0" w:line="166" w:lineRule="exact"/>
        <w:rPr>
          <w:sz w:val="20"/>
          <w:szCs w:val="20"/>
          <w:color w:val="auto"/>
        </w:rPr>
      </w:pPr>
    </w:p>
    <w:p>
      <w:pPr>
        <w:ind w:left="60" w:right="199" w:firstLine="441"/>
        <w:spacing w:after="0" w:line="255" w:lineRule="auto"/>
        <w:rPr>
          <w:sz w:val="20"/>
          <w:szCs w:val="20"/>
          <w:color w:val="auto"/>
        </w:rPr>
      </w:pPr>
      <w:r>
        <w:rPr>
          <w:rFonts w:ascii="Arial" w:cs="Arial" w:eastAsia="Arial" w:hAnsi="Arial"/>
          <w:sz w:val="18"/>
          <w:szCs w:val="18"/>
          <w:color w:val="auto"/>
        </w:rPr>
        <w:t>Unless an exemption applies, a new medical device may not be marketed in the United States unless and until it has been cleared through filing of a 510(k) premarket notification, or 510(k), or approved by the FDA pursuant to a PMA application. The information that must be submitted to the FDA in order to obtain clearance or approval to market a new medical device varies depending on how the medical device is classified by the FDA. Medical devices are classified into one of three classes on the basis of the controls deemed by the FDA to be necessary to reasonably ensure their safety and effectiveness.</w:t>
      </w:r>
    </w:p>
    <w:p>
      <w:pPr>
        <w:spacing w:after="0" w:line="192" w:lineRule="exact"/>
        <w:rPr>
          <w:sz w:val="20"/>
          <w:szCs w:val="20"/>
          <w:color w:val="auto"/>
        </w:rPr>
      </w:pPr>
    </w:p>
    <w:p>
      <w:pPr>
        <w:ind w:left="60" w:right="159" w:firstLine="441"/>
        <w:spacing w:after="0" w:line="255" w:lineRule="auto"/>
        <w:rPr>
          <w:sz w:val="20"/>
          <w:szCs w:val="20"/>
          <w:color w:val="auto"/>
        </w:rPr>
      </w:pPr>
      <w:r>
        <w:rPr>
          <w:rFonts w:ascii="Arial" w:cs="Arial" w:eastAsia="Arial" w:hAnsi="Arial"/>
          <w:sz w:val="18"/>
          <w:szCs w:val="18"/>
          <w:color w:val="auto"/>
        </w:rPr>
        <w:t>Class I devices are low risk devices for which reasonable assurance of safety and effectiveness can be provided by adherence to the FDA’s general controls for medical devices, which include applicable portions of the FDA’s Quality System Regulation, or QSR, facility registration and product listing, reporting of adverse medical events and malfunctions and appropriate, truthful and non-misleading labeling, advertising and promotional materials. Many Class I devices are exempt from premarket regulation; however, some Class I devices require premarket clearance by the FDA through the 510(k) premarket notification process.</w:t>
      </w:r>
    </w:p>
    <w:p>
      <w:pPr>
        <w:spacing w:after="0" w:line="192" w:lineRule="exact"/>
        <w:rPr>
          <w:sz w:val="20"/>
          <w:szCs w:val="20"/>
          <w:color w:val="auto"/>
        </w:rPr>
      </w:pPr>
    </w:p>
    <w:p>
      <w:pPr>
        <w:ind w:left="60" w:right="139" w:firstLine="441"/>
        <w:spacing w:after="0" w:line="296" w:lineRule="auto"/>
        <w:rPr>
          <w:sz w:val="20"/>
          <w:szCs w:val="20"/>
          <w:color w:val="auto"/>
        </w:rPr>
      </w:pPr>
      <w:r>
        <w:rPr>
          <w:rFonts w:ascii="Arial" w:cs="Arial" w:eastAsia="Arial" w:hAnsi="Arial"/>
          <w:sz w:val="16"/>
          <w:szCs w:val="16"/>
          <w:color w:val="auto"/>
        </w:rPr>
        <w:t>Class II devices are moderate risk devices and are subject to the FDA’s general controls, and any other special controls, such as performance standards, post-market surveillance, and FDA guidelines, deemed necessary by the FDA to provide reasonable assurance of the devices’ safety and effectiveness. Premarket review and clearance by the FDA for Class II devices are accomplished through the 510(k) premarket notification procedure, although some Class II devices are exempt from the 510(k) requirements. Premarket notifications are subject to user fees, unless a specific exemption applies.</w:t>
      </w:r>
    </w:p>
    <w:p>
      <w:pPr>
        <w:spacing w:after="0" w:line="161" w:lineRule="exact"/>
        <w:rPr>
          <w:sz w:val="20"/>
          <w:szCs w:val="20"/>
          <w:color w:val="auto"/>
        </w:rPr>
      </w:pPr>
    </w:p>
    <w:p>
      <w:pPr>
        <w:ind w:left="60" w:right="179" w:firstLine="441"/>
        <w:spacing w:after="0" w:line="273" w:lineRule="auto"/>
        <w:rPr>
          <w:sz w:val="20"/>
          <w:szCs w:val="20"/>
          <w:color w:val="auto"/>
        </w:rPr>
      </w:pPr>
      <w:r>
        <w:rPr>
          <w:rFonts w:ascii="Arial" w:cs="Arial" w:eastAsia="Arial" w:hAnsi="Arial"/>
          <w:sz w:val="17"/>
          <w:szCs w:val="17"/>
          <w:color w:val="auto"/>
        </w:rPr>
        <w:t>Class III devices are deemed by the FDA to pose the greatest risk, such as those for which reasonable assurance of the device’s safety and effectiveness cannot be assured solely by the general controls and special controls described above and that are life-sustaining or life-supporting. A PMA application must provide valid scientific evidence, typically extensive preclinical and clinical trial data and information about the device and its components regarding, among other things, device design, manufacturing and labeling. PMA applications (and supplemental PMA applications) are subject to significantly higher user fees than are 510(k) premarket notifications.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510(k) Premarket Notification</w:t>
      </w:r>
    </w:p>
    <w:p>
      <w:pPr>
        <w:spacing w:after="0" w:line="225" w:lineRule="exact"/>
        <w:rPr>
          <w:sz w:val="20"/>
          <w:szCs w:val="20"/>
          <w:color w:val="auto"/>
        </w:rPr>
      </w:pPr>
    </w:p>
    <w:p>
      <w:pPr>
        <w:ind w:left="60" w:right="179" w:firstLine="441"/>
        <w:spacing w:after="0" w:line="289" w:lineRule="auto"/>
        <w:rPr>
          <w:sz w:val="20"/>
          <w:szCs w:val="20"/>
          <w:color w:val="auto"/>
        </w:rPr>
      </w:pPr>
      <w:r>
        <w:rPr>
          <w:rFonts w:ascii="Arial" w:cs="Arial" w:eastAsia="Arial" w:hAnsi="Arial"/>
          <w:sz w:val="16"/>
          <w:szCs w:val="16"/>
          <w:color w:val="auto"/>
        </w:rPr>
        <w:t>To obtain 510(k) clearance, a manufacturer must submit a premarket notification demonstrating that the proposed device is “substantially equivalent” to a predicate device, which is a previously cleared 510(k) device or a pre-amendment device that was in commercial distribution before May 28, 1976, for which the FDA has not yet called for the submission of a PMA application. The FDA’s 510(k) clearance pathway usually takes from three to 12 months from the date the application is submitted and filed with the FDA, but it can take significantly longer and clearance is never assured. The FDA has issued guidance documents meant to expedite review of a 510(k) and facilitate interactions between applicants and the agency. To demonstrate substantial equivalence, a manufacturer must show that the device has the same intended use as a predicate device and the same technological characteristics, or the same intended use and different technological characteristics and does not raise new questions of safety and effectiveness than the predicate device.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Most 510(k)s do not require clinical data for clearance, but the FDA may request such data.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 xml:space="preserve">The FDA seeks to review and act on a 510(k) within 90 days of submission, but it may take longer if the agency finds that it requires more information to review the 510(k). If the FDA determines that the device is substantially equivalent to a predicate device, the subject device may be marketed. However, if the FDA concludes that a new device is not substantially equivalent to a predicate device, the new device will be classified in Class III and the manufacturer will be required to submit a PMA application to market the product. Devices of a new type that the FDA has not previously classified based on risk are automatically classified into Class III by operation of section 513(f)(1) of the FDCA, regardless of the level of risk they pose. To avoid requiring PMA review of low- to moderate-risk devices classified in Class III by operation of law, Congress enacted section 513(f)(2) of the FDCA. This provision allows the FDA to classify a low- to moderate-risk device not previously classified into Class I or II, a process known as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process. A company may apply directly to the FDA for classification of its device as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or may submit a de novo petition within 30 days of receiving a not substantially equivalent determination.</w:t>
      </w:r>
    </w:p>
    <w:p>
      <w:pPr>
        <w:spacing w:after="0" w:line="182" w:lineRule="exact"/>
        <w:rPr>
          <w:sz w:val="20"/>
          <w:szCs w:val="20"/>
          <w:color w:val="auto"/>
        </w:rPr>
      </w:pPr>
    </w:p>
    <w:p>
      <w:pPr>
        <w:ind w:left="60" w:right="99" w:firstLine="441"/>
        <w:spacing w:after="0" w:line="271" w:lineRule="auto"/>
        <w:rPr>
          <w:sz w:val="20"/>
          <w:szCs w:val="20"/>
          <w:color w:val="auto"/>
        </w:rPr>
      </w:pPr>
      <w:r>
        <w:rPr>
          <w:rFonts w:ascii="Arial" w:cs="Arial" w:eastAsia="Arial" w:hAnsi="Arial"/>
          <w:sz w:val="17"/>
          <w:szCs w:val="17"/>
          <w:color w:val="auto"/>
        </w:rPr>
        <w:t>Modifications to a 510(k)-cleared medical device may require the submission of another 510(k). Modifications to a 510(k)-cleared device frequently require the submission of a traditional 510(k), but modifications meeting certain conditions may be candidates for FDA review under a Special 510(k). If a device modification requires the submission of a 510(k), but the modification does not affect the intended use of the device or alter the fundamental technology of the device, then summary information that results from the design control process associated with the cleared device can serve as the basis for clearing the application. A Special 510(k) allows a manufacturer to declare conformance to design controls without providing new data. When the modification involves a change in material, the nature of the “new” material will determine whether a traditional or Special 510(k) is necessary.</w:t>
      </w:r>
    </w:p>
    <w:p>
      <w:pPr>
        <w:spacing w:after="0" w:line="178" w:lineRule="exact"/>
        <w:rPr>
          <w:sz w:val="20"/>
          <w:szCs w:val="20"/>
          <w:color w:val="auto"/>
        </w:rPr>
      </w:pPr>
    </w:p>
    <w:p>
      <w:pPr>
        <w:ind w:left="60" w:right="119" w:firstLine="441"/>
        <w:spacing w:after="0" w:line="301" w:lineRule="auto"/>
        <w:rPr>
          <w:sz w:val="20"/>
          <w:szCs w:val="20"/>
          <w:color w:val="auto"/>
        </w:rPr>
      </w:pPr>
      <w:r>
        <w:rPr>
          <w:rFonts w:ascii="Arial" w:cs="Arial" w:eastAsia="Arial" w:hAnsi="Arial"/>
          <w:sz w:val="16"/>
          <w:szCs w:val="16"/>
          <w:color w:val="auto"/>
        </w:rPr>
        <w:t>Any modification to a 510(k)-cleared product that would constitute a major change in its intended use or any change that could significantly affect the safety or effectiveness of the device may, in some circumstances, requires the submission of a PMA application, if the change raises complex or novel scientific issues or the product has a new intended use. A manufacturer may be required to submit extensive pre-clinical and clinical data depending on the nature of the changes.</w:t>
      </w:r>
    </w:p>
    <w:p>
      <w:pPr>
        <w:spacing w:after="0" w:line="157" w:lineRule="exact"/>
        <w:rPr>
          <w:sz w:val="20"/>
          <w:szCs w:val="20"/>
          <w:color w:val="auto"/>
        </w:rPr>
      </w:pPr>
    </w:p>
    <w:p>
      <w:pPr>
        <w:ind w:left="60" w:right="99" w:firstLine="441"/>
        <w:spacing w:after="0" w:line="291" w:lineRule="auto"/>
        <w:rPr>
          <w:sz w:val="20"/>
          <w:szCs w:val="20"/>
          <w:color w:val="auto"/>
        </w:rPr>
      </w:pPr>
      <w:r>
        <w:rPr>
          <w:rFonts w:ascii="Arial" w:cs="Arial" w:eastAsia="Arial" w:hAnsi="Arial"/>
          <w:sz w:val="16"/>
          <w:szCs w:val="16"/>
          <w:color w:val="auto"/>
        </w:rPr>
        <w:t>The FDA requires every manufacturer to make the determination regarding the need for a new 510(k) submission in the first instance, but the FDA may review any manufacturer’s decision. If the FDA disagrees with the manufacturer’s determination and requires new 510(k) clearances or PMA application approvals for modifications to previously cleared products for which the manufacturer concluded that new clearances or approvals are unnecessary, the manufacturer may be required to cease marketing or distribution of the products or to recall the modified product until it obtains clearance or approval, and the manufacturer may be subject to significant regulatory fines or penalties. In addition, the FDA is currently evaluating the 510(k) process and may make substantial changes to industry requirements.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Premarket Approval Application</w:t>
      </w:r>
    </w:p>
    <w:p>
      <w:pPr>
        <w:spacing w:after="0" w:line="225" w:lineRule="exact"/>
        <w:rPr>
          <w:sz w:val="20"/>
          <w:szCs w:val="20"/>
          <w:color w:val="auto"/>
        </w:rPr>
      </w:pPr>
    </w:p>
    <w:p>
      <w:pPr>
        <w:ind w:left="60" w:right="79" w:firstLine="441"/>
        <w:spacing w:after="0" w:line="268" w:lineRule="auto"/>
        <w:rPr>
          <w:sz w:val="20"/>
          <w:szCs w:val="20"/>
          <w:color w:val="auto"/>
        </w:rPr>
      </w:pPr>
      <w:r>
        <w:rPr>
          <w:rFonts w:ascii="Arial" w:cs="Arial" w:eastAsia="Arial" w:hAnsi="Arial"/>
          <w:sz w:val="17"/>
          <w:szCs w:val="17"/>
          <w:color w:val="auto"/>
        </w:rPr>
        <w:t>The PMA application process for approval to market a medical device is more complex, costly, and time- consuming than the 510(k) clearance procedure. A PMA application must be supported by extensive data, including technical information regarding device design and development, preclinical studies, clinical trials, manufacturing and controls information and labeling information that demonstrate the safety and effectiveness of the device for its intended use. After a PMA application is submitted, the FDA has 45 days to determine whether it is sufficiently complete to permit a substantive review. If the PMA application is complete, the FDA will file the PMA application. If the FDA accepts the application for filing, the agency will begin an in-depth substantive review of the application. By statute, the FDA has 180 days to review the application although, generally, review of the application often takes between one and three years, and may take significantly longer. If the FDA has questions, it will likely issue a first major deficiency letter within 150 days of filing. It may also refer the PMA application to an FDA advisory panel for additional review, and will conduct a preapproval inspection of the manufacturing facility to ensure compliance with the QSR, either of which could extend the 180-day response target. In addition, the FDA may request additional information or request the performance of additional clinical trials in which case the PMA application approval may be delayed while the trials are conducted and the data acquired are submitted in an amendment to the PMA. Even with additional trials, the FDA may not approve the PMA application.</w:t>
      </w:r>
    </w:p>
    <w:p>
      <w:pPr>
        <w:spacing w:after="0" w:line="182" w:lineRule="exact"/>
        <w:rPr>
          <w:sz w:val="20"/>
          <w:szCs w:val="20"/>
          <w:color w:val="auto"/>
        </w:rPr>
      </w:pPr>
    </w:p>
    <w:p>
      <w:pPr>
        <w:ind w:left="60" w:right="99" w:firstLine="441"/>
        <w:spacing w:after="0" w:line="301" w:lineRule="auto"/>
        <w:rPr>
          <w:sz w:val="20"/>
          <w:szCs w:val="20"/>
          <w:color w:val="auto"/>
        </w:rPr>
      </w:pPr>
      <w:r>
        <w:rPr>
          <w:rFonts w:ascii="Arial" w:cs="Arial" w:eastAsia="Arial" w:hAnsi="Arial"/>
          <w:sz w:val="16"/>
          <w:szCs w:val="16"/>
          <w:color w:val="auto"/>
        </w:rPr>
        <w:t>If the FDA’s evaluations of both the PMA application and the manufacturing facilities are favorable, the FDA will either issue an approval letter authorizing commercial marketing or an approvable letter that usually contains a number of conditions that must be met in order to secure final approval. If the FDA’s evaluations are not favorable, the FDA will deny approval of the PMA application or issue a not approvable letter. The PMA application process, including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7" w:lineRule="auto"/>
        <w:rPr>
          <w:sz w:val="20"/>
          <w:szCs w:val="20"/>
          <w:color w:val="auto"/>
        </w:rPr>
      </w:pPr>
      <w:r>
        <w:rPr>
          <w:rFonts w:ascii="Arial" w:cs="Arial" w:eastAsia="Arial" w:hAnsi="Arial"/>
          <w:sz w:val="16"/>
          <w:szCs w:val="16"/>
          <w:color w:val="auto"/>
        </w:rPr>
        <w:t>gathering of clinical and nonclinical data and the submission to and review by the FDA, can take several years, and the process can be expensive and uncertain. Moreover, even if the FDA approves a PMA application, the FDA may approve the device with an indication that is narrower or more limited than originally sought. The FDA can impose post-approval conditions that it believes necessary to ensure the safety and effectiveness of the device, including, among other things, restrictions on labeling, promotion, sale and distribution. After approval of a PMA application, a new PMA application or PMA application supplement may be required for a modification to the device, its labeling, or its manufacturing process. PMA application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The time for review of a PMA application supplement may vary depending on the type of change, but it can be lengthy. In addition, in some cases the FDA might require additional clinical data.</w:t>
      </w:r>
    </w:p>
    <w:p>
      <w:pPr>
        <w:spacing w:after="0" w:line="172"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PMA applications are subject to an application fee. For federal fiscal year 2021, the standard fee is $365,657 and the small business fee is $91,414.</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Investigational Device Exemption</w:t>
      </w:r>
    </w:p>
    <w:p>
      <w:pPr>
        <w:spacing w:after="0" w:line="225"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Non-significant risk devices are devices that do not pose a significant risk to the human subjects. A non-significant risk device study requires only IRB approval prior to initiation of a clinical study.</w:t>
      </w:r>
    </w:p>
    <w:p>
      <w:pPr>
        <w:spacing w:after="0" w:line="185" w:lineRule="exact"/>
        <w:rPr>
          <w:sz w:val="20"/>
          <w:szCs w:val="20"/>
          <w:color w:val="auto"/>
        </w:rPr>
      </w:pPr>
    </w:p>
    <w:p>
      <w:pPr>
        <w:ind w:left="60" w:right="59" w:firstLine="441"/>
        <w:spacing w:after="0" w:line="269" w:lineRule="auto"/>
        <w:rPr>
          <w:sz w:val="20"/>
          <w:szCs w:val="20"/>
          <w:color w:val="auto"/>
        </w:rPr>
      </w:pPr>
      <w:r>
        <w:rPr>
          <w:rFonts w:ascii="Arial" w:cs="Arial" w:eastAsia="Arial" w:hAnsi="Arial"/>
          <w:sz w:val="17"/>
          <w:szCs w:val="17"/>
          <w:color w:val="auto"/>
        </w:rPr>
        <w:t>An IDE application must be supported by appropriate data, such as animal and laboratory testing results, showing that it is safe to test the device in humans and that the testing protocol is scientifically sound. An IDE application is considered approved 30 days after it has been received by the FDA, unless the FDA otherwise informs the sponsor prior to 30 calendar days from the date of receipt, that the IDE is approved, approved with conditions, or disapproved. The FDA typically grants IDE approval for a specified number of subjects to be enrolled at specified study centers. The clinical trial must be conducted in accordance with applicable regulations, including but not limited to the FDA’s IDE regulations and GCP. The investigators must obtain subject informed consent, rigorously follow the investigational plan and study protocol, control the disposition of investigational devices, and comply with all reporting and record keeping requirements. A clinical trial may be suspended or terminated by the FDA, the IRB or the sponsor at any time for various reasons, including a belief that the risks to the study participants outweigh the benefits of participation in the trial. Approval of an IDE does not bind the FDA to accept the results of the trial as sufficient to prove the product’s safety and efficacy, even if the trial meets its intended success criteria.</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Post-Marketing Restrictions and Enforcement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After a device is placed on the market, numerous regulatory requirements apply. These include but are not limited to:</w:t>
      </w:r>
    </w:p>
    <w:p>
      <w:pPr>
        <w:spacing w:after="0" w:line="248" w:lineRule="exact"/>
        <w:rPr>
          <w:sz w:val="20"/>
          <w:szCs w:val="20"/>
          <w:color w:val="auto"/>
        </w:rPr>
      </w:pPr>
    </w:p>
    <w:p>
      <w:pPr>
        <w:ind w:left="840" w:hanging="331"/>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submitting and updating establishment registration and device listings with the FDA;</w:t>
      </w:r>
    </w:p>
    <w:p>
      <w:pPr>
        <w:spacing w:after="0" w:line="252" w:lineRule="exact"/>
        <w:rPr>
          <w:rFonts w:ascii="Arial" w:cs="Arial" w:eastAsia="Arial" w:hAnsi="Arial"/>
          <w:sz w:val="18"/>
          <w:szCs w:val="18"/>
          <w:color w:val="auto"/>
        </w:rPr>
      </w:pPr>
    </w:p>
    <w:p>
      <w:pPr>
        <w:ind w:left="840" w:right="419" w:hanging="331"/>
        <w:spacing w:after="0" w:line="263"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QSR, which require manufacturers to follow stringent design, testing, control, documentation, record maintenance, including maintenance of complaint and related investigation files, and other quality assurance controls during the manufacturing process;</w:t>
      </w:r>
    </w:p>
    <w:p>
      <w:pPr>
        <w:spacing w:after="0" w:line="210" w:lineRule="exact"/>
        <w:rPr>
          <w:rFonts w:ascii="Arial" w:cs="Arial" w:eastAsia="Arial" w:hAnsi="Arial"/>
          <w:sz w:val="18"/>
          <w:szCs w:val="18"/>
          <w:color w:val="auto"/>
        </w:rPr>
      </w:pPr>
    </w:p>
    <w:p>
      <w:pPr>
        <w:ind w:left="840" w:right="239" w:hanging="331"/>
        <w:spacing w:after="0" w:line="263"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unannounced routine or for-cause device inspections by the FDA, which may include our suppliers’ facilities labeling regulations, which prohibit the promotion of products for uncleared or unapproved or “off-label” uses and impose other restrictions on labeling;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right="259" w:hanging="331"/>
        <w:spacing w:after="0" w:line="342" w:lineRule="auto"/>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post-approval restrictions or conditions, including requirements to conduct post-market surveillance studies to establish continued safety data or tracking products through the chain of distribution to the patient level.</w:t>
      </w:r>
    </w:p>
    <w:p>
      <w:pPr>
        <w:spacing w:after="0" w:line="124" w:lineRule="exact"/>
        <w:rPr>
          <w:sz w:val="20"/>
          <w:szCs w:val="20"/>
          <w:color w:val="auto"/>
        </w:rPr>
      </w:pPr>
    </w:p>
    <w:p>
      <w:pPr>
        <w:ind w:left="60" w:right="119" w:firstLine="441"/>
        <w:spacing w:after="0" w:line="275" w:lineRule="auto"/>
        <w:rPr>
          <w:sz w:val="20"/>
          <w:szCs w:val="20"/>
          <w:color w:val="auto"/>
        </w:rPr>
      </w:pPr>
      <w:r>
        <w:rPr>
          <w:rFonts w:ascii="Arial" w:cs="Arial" w:eastAsia="Arial" w:hAnsi="Arial"/>
          <w:sz w:val="17"/>
          <w:szCs w:val="17"/>
          <w:color w:val="auto"/>
        </w:rPr>
        <w:t>Under the FDA medical device reporting, or MDR,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a similar device of such manufacturer were to recur. The decision to file an MDR involves a judgment by the manufacturer. If the FDA disagrees with the manufacturer’s determination, the FDA can take enforcement action.</w:t>
      </w:r>
    </w:p>
    <w:p>
      <w:pPr>
        <w:spacing w:after="0" w:line="176" w:lineRule="exact"/>
        <w:rPr>
          <w:sz w:val="20"/>
          <w:szCs w:val="20"/>
          <w:color w:val="auto"/>
        </w:rPr>
      </w:pPr>
    </w:p>
    <w:p>
      <w:pPr>
        <w:ind w:left="60" w:right="279" w:firstLine="441"/>
        <w:spacing w:after="0" w:line="275" w:lineRule="auto"/>
        <w:rPr>
          <w:sz w:val="20"/>
          <w:szCs w:val="20"/>
          <w:color w:val="auto"/>
        </w:rPr>
      </w:pPr>
      <w:r>
        <w:rPr>
          <w:rFonts w:ascii="Arial" w:cs="Arial" w:eastAsia="Arial" w:hAnsi="Arial"/>
          <w:sz w:val="17"/>
          <w:szCs w:val="17"/>
          <w:color w:val="auto"/>
        </w:rPr>
        <w:t>Additionally, the FDA has the authority to require the recall of commercialized products in the event of material deficiencies or defects in design or manufacture. The authority to require a recall must be based on an FDA finding that there is reasonable probability that the device would cause serious injury or death. Manufacturers may, under their own initiative, recall a product if any material deficiency in a device is found. The FDA requires that certain classifications of recalls be reported to the FDA within 10 working days after the recall is initiated.</w:t>
      </w:r>
    </w:p>
    <w:p>
      <w:pPr>
        <w:spacing w:after="0" w:line="176" w:lineRule="exact"/>
        <w:rPr>
          <w:sz w:val="20"/>
          <w:szCs w:val="20"/>
          <w:color w:val="auto"/>
        </w:rPr>
      </w:pPr>
    </w:p>
    <w:p>
      <w:pPr>
        <w:ind w:left="60" w:right="259" w:firstLine="441"/>
        <w:spacing w:after="0" w:line="277" w:lineRule="auto"/>
        <w:rPr>
          <w:sz w:val="20"/>
          <w:szCs w:val="20"/>
          <w:color w:val="auto"/>
        </w:rPr>
      </w:pPr>
      <w:r>
        <w:rPr>
          <w:rFonts w:ascii="Arial" w:cs="Arial" w:eastAsia="Arial" w:hAnsi="Arial"/>
          <w:sz w:val="18"/>
          <w:szCs w:val="18"/>
          <w:color w:val="auto"/>
        </w:rPr>
        <w:t>The failure to comply with applicable regulatory requirements can result in enforcement action by the FDA, which may include any of the following sanctions:</w:t>
      </w:r>
    </w:p>
    <w:p>
      <w:pPr>
        <w:spacing w:after="0" w:line="170" w:lineRule="exact"/>
        <w:rPr>
          <w:sz w:val="20"/>
          <w:szCs w:val="20"/>
          <w:color w:val="auto"/>
        </w:rPr>
      </w:pPr>
    </w:p>
    <w:p>
      <w:pPr>
        <w:ind w:left="840" w:hanging="331"/>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or civil penalties;</w:t>
      </w:r>
    </w:p>
    <w:p>
      <w:pPr>
        <w:spacing w:after="0" w:line="252" w:lineRule="exact"/>
        <w:rPr>
          <w:rFonts w:ascii="Arial" w:cs="Arial" w:eastAsia="Arial" w:hAnsi="Arial"/>
          <w:sz w:val="18"/>
          <w:szCs w:val="18"/>
          <w:color w:val="auto"/>
        </w:rPr>
      </w:pPr>
    </w:p>
    <w:p>
      <w:pPr>
        <w:ind w:left="840" w:hanging="331"/>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recalls, detentions or seizures of products;</w:t>
      </w:r>
    </w:p>
    <w:p>
      <w:pPr>
        <w:spacing w:after="0" w:line="252" w:lineRule="exact"/>
        <w:rPr>
          <w:rFonts w:ascii="Arial" w:cs="Arial" w:eastAsia="Arial" w:hAnsi="Arial"/>
          <w:sz w:val="18"/>
          <w:szCs w:val="18"/>
          <w:color w:val="auto"/>
        </w:rPr>
      </w:pPr>
    </w:p>
    <w:p>
      <w:pPr>
        <w:ind w:left="840" w:hanging="331"/>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52" w:lineRule="exact"/>
        <w:rPr>
          <w:rFonts w:ascii="Arial" w:cs="Arial" w:eastAsia="Arial" w:hAnsi="Arial"/>
          <w:sz w:val="18"/>
          <w:szCs w:val="18"/>
          <w:color w:val="auto"/>
        </w:rPr>
      </w:pPr>
    </w:p>
    <w:p>
      <w:pPr>
        <w:ind w:left="840" w:hanging="331"/>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252" w:lineRule="exact"/>
        <w:rPr>
          <w:rFonts w:ascii="Arial" w:cs="Arial" w:eastAsia="Arial" w:hAnsi="Arial"/>
          <w:sz w:val="18"/>
          <w:szCs w:val="18"/>
          <w:color w:val="auto"/>
        </w:rPr>
      </w:pPr>
    </w:p>
    <w:p>
      <w:pPr>
        <w:ind w:left="840" w:hanging="331"/>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252" w:lineRule="exact"/>
        <w:rPr>
          <w:rFonts w:ascii="Arial" w:cs="Arial" w:eastAsia="Arial" w:hAnsi="Arial"/>
          <w:sz w:val="18"/>
          <w:szCs w:val="18"/>
          <w:color w:val="auto"/>
        </w:rPr>
      </w:pPr>
    </w:p>
    <w:p>
      <w:pPr>
        <w:ind w:left="840" w:right="219" w:hanging="331"/>
        <w:spacing w:after="0" w:line="277"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or refusal of the FDA or other regulators to grant 510(k) clearance or PMA application approvals of new products;</w:t>
      </w:r>
    </w:p>
    <w:p>
      <w:pPr>
        <w:spacing w:after="0" w:line="197" w:lineRule="exact"/>
        <w:rPr>
          <w:rFonts w:ascii="Arial" w:cs="Arial" w:eastAsia="Arial" w:hAnsi="Arial"/>
          <w:sz w:val="18"/>
          <w:szCs w:val="18"/>
          <w:color w:val="auto"/>
        </w:rPr>
      </w:pPr>
    </w:p>
    <w:p>
      <w:pPr>
        <w:ind w:left="840" w:hanging="331"/>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withdrawals of 510(k) clearance or PMA application approvals; or</w:t>
      </w:r>
    </w:p>
    <w:p>
      <w:pPr>
        <w:spacing w:after="0" w:line="252" w:lineRule="exact"/>
        <w:rPr>
          <w:rFonts w:ascii="Arial" w:cs="Arial" w:eastAsia="Arial" w:hAnsi="Arial"/>
          <w:sz w:val="18"/>
          <w:szCs w:val="18"/>
          <w:color w:val="auto"/>
        </w:rPr>
      </w:pPr>
    </w:p>
    <w:p>
      <w:pPr>
        <w:ind w:left="840" w:hanging="331"/>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most serious cases, criminal prosecution.</w:t>
      </w:r>
    </w:p>
    <w:p>
      <w:pPr>
        <w:spacing w:after="0" w:line="225" w:lineRule="exact"/>
        <w:rPr>
          <w:sz w:val="20"/>
          <w:szCs w:val="20"/>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To ensure compliance with regulatory requirements, medical device manufacturers are subject to market surveillance and periodic, pre-scheduled and unannounced inspections by the FDA, and these inspections may include the manufacturing facilities of subcontractors.</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Review and Approval of Combination Products in the United States</w:t>
      </w:r>
    </w:p>
    <w:p>
      <w:pPr>
        <w:spacing w:after="0" w:line="225" w:lineRule="exact"/>
        <w:rPr>
          <w:sz w:val="20"/>
          <w:szCs w:val="20"/>
          <w:color w:val="auto"/>
        </w:rPr>
      </w:pPr>
    </w:p>
    <w:p>
      <w:pPr>
        <w:ind w:left="60" w:right="139" w:firstLine="441"/>
        <w:spacing w:after="0" w:line="263" w:lineRule="auto"/>
        <w:rPr>
          <w:sz w:val="20"/>
          <w:szCs w:val="20"/>
          <w:color w:val="auto"/>
        </w:rPr>
      </w:pPr>
      <w:r>
        <w:rPr>
          <w:rFonts w:ascii="Arial" w:cs="Arial" w:eastAsia="Arial" w:hAnsi="Arial"/>
          <w:sz w:val="18"/>
          <w:szCs w:val="18"/>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184" w:lineRule="exact"/>
        <w:rPr>
          <w:sz w:val="20"/>
          <w:szCs w:val="20"/>
          <w:color w:val="auto"/>
        </w:rPr>
      </w:pPr>
    </w:p>
    <w:p>
      <w:pPr>
        <w:ind w:left="840" w:right="759" w:hanging="331"/>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197" w:lineRule="exact"/>
        <w:rPr>
          <w:rFonts w:ascii="Arial" w:cs="Arial" w:eastAsia="Arial" w:hAnsi="Arial"/>
          <w:sz w:val="18"/>
          <w:szCs w:val="18"/>
          <w:color w:val="auto"/>
        </w:rPr>
      </w:pPr>
    </w:p>
    <w:p>
      <w:pPr>
        <w:ind w:left="840" w:right="419" w:hanging="331"/>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w:t>
      </w:r>
    </w:p>
    <w:p>
      <w:pPr>
        <w:spacing w:after="0" w:line="197" w:lineRule="exact"/>
        <w:rPr>
          <w:rFonts w:ascii="Arial" w:cs="Arial" w:eastAsia="Arial" w:hAnsi="Arial"/>
          <w:sz w:val="18"/>
          <w:szCs w:val="18"/>
          <w:color w:val="auto"/>
        </w:rPr>
      </w:pPr>
    </w:p>
    <w:p>
      <w:pPr>
        <w:ind w:left="840" w:right="239" w:hanging="331"/>
        <w:spacing w:after="0" w:line="311" w:lineRule="auto"/>
        <w:tabs>
          <w:tab w:leader="none" w:pos="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right="399"/>
        <w:spacing w:after="0" w:line="277" w:lineRule="auto"/>
        <w:rPr>
          <w:sz w:val="20"/>
          <w:szCs w:val="20"/>
          <w:color w:val="auto"/>
        </w:rPr>
      </w:pPr>
      <w:r>
        <w:rPr>
          <w:rFonts w:ascii="Arial" w:cs="Arial" w:eastAsia="Arial" w:hAnsi="Arial"/>
          <w:sz w:val="18"/>
          <w:szCs w:val="18"/>
          <w:color w:val="auto"/>
        </w:rPr>
        <w:t>approved product would need to be changed, e.g., to reflect a change in intended use, dosage form, strength, route of administration, or significant change in dose; or</w:t>
      </w:r>
    </w:p>
    <w:p>
      <w:pPr>
        <w:spacing w:after="0" w:line="197" w:lineRule="exact"/>
        <w:rPr>
          <w:sz w:val="20"/>
          <w:szCs w:val="20"/>
          <w:color w:val="auto"/>
        </w:rPr>
      </w:pPr>
    </w:p>
    <w:p>
      <w:pPr>
        <w:ind w:left="840" w:right="99" w:hanging="331"/>
        <w:spacing w:after="0" w:line="263"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spacing w:after="0" w:line="184" w:lineRule="exact"/>
        <w:rPr>
          <w:sz w:val="20"/>
          <w:szCs w:val="20"/>
          <w:color w:val="auto"/>
        </w:rPr>
      </w:pPr>
    </w:p>
    <w:p>
      <w:pPr>
        <w:ind w:left="60" w:right="99" w:firstLine="441"/>
        <w:spacing w:after="0" w:line="270" w:lineRule="auto"/>
        <w:rPr>
          <w:sz w:val="20"/>
          <w:szCs w:val="20"/>
          <w:color w:val="auto"/>
        </w:rPr>
      </w:pPr>
      <w:r>
        <w:rPr>
          <w:rFonts w:ascii="Arial" w:cs="Arial" w:eastAsia="Arial" w:hAnsi="Arial"/>
          <w:sz w:val="17"/>
          <w:szCs w:val="17"/>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device-drug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Review and Approval of Medical Products in the European Union</w:t>
      </w:r>
    </w:p>
    <w:p>
      <w:pPr>
        <w:spacing w:after="0" w:line="225" w:lineRule="exact"/>
        <w:rPr>
          <w:sz w:val="20"/>
          <w:szCs w:val="20"/>
          <w:color w:val="auto"/>
        </w:rPr>
      </w:pPr>
    </w:p>
    <w:p>
      <w:pPr>
        <w:ind w:left="60" w:right="79" w:firstLine="441"/>
        <w:spacing w:after="0" w:line="288"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Clinical Trial Approval</w:t>
      </w:r>
    </w:p>
    <w:p>
      <w:pPr>
        <w:spacing w:after="0" w:line="225" w:lineRule="exact"/>
        <w:rPr>
          <w:sz w:val="20"/>
          <w:szCs w:val="20"/>
          <w:color w:val="auto"/>
        </w:rPr>
      </w:pPr>
    </w:p>
    <w:p>
      <w:pPr>
        <w:ind w:left="60" w:right="159" w:firstLine="441"/>
        <w:spacing w:after="0" w:line="272" w:lineRule="auto"/>
        <w:rPr>
          <w:sz w:val="20"/>
          <w:szCs w:val="20"/>
          <w:color w:val="auto"/>
        </w:rPr>
      </w:pPr>
      <w:r>
        <w:rPr>
          <w:rFonts w:ascii="Arial" w:cs="Arial" w:eastAsia="Arial" w:hAnsi="Arial"/>
          <w:sz w:val="17"/>
          <w:szCs w:val="17"/>
          <w:color w:val="auto"/>
        </w:rPr>
        <w:t>Pursuant to the European Clinical Trials Directive, a system for the approval of clinical trials in the European Union has been implemented through national legislation of the member states. Under this system, an applicant must obtain approval from the competent national authority of a European Union member state in which the clinical trial is to be conducted. Furthermore, the applicant may only start a clinical trial after a competent ethics committee has issued a favorable opinion. Clinical trial application 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77" w:lineRule="exact"/>
        <w:rPr>
          <w:sz w:val="20"/>
          <w:szCs w:val="20"/>
          <w:color w:val="auto"/>
        </w:rPr>
      </w:pPr>
    </w:p>
    <w:p>
      <w:pPr>
        <w:ind w:left="60" w:right="79" w:firstLine="441"/>
        <w:spacing w:after="0" w:line="271" w:lineRule="auto"/>
        <w:rPr>
          <w:sz w:val="20"/>
          <w:szCs w:val="20"/>
          <w:color w:val="auto"/>
        </w:rPr>
      </w:pPr>
      <w:r>
        <w:rPr>
          <w:rFonts w:ascii="Arial" w:cs="Arial" w:eastAsia="Arial" w:hAnsi="Arial"/>
          <w:sz w:val="17"/>
          <w:szCs w:val="17"/>
          <w:color w:val="auto"/>
        </w:rPr>
        <w:t>In April 2014, the EU adopted a new Clinical Trials Regulation (EU) No 536/2014, which is set to replace the current Clinical Trials Directive 2001/20/EC. The new Clinical Trials Regulation will become directly applicable to and binding in all 28 EU Member States without the need for any national implementing legislation. It will overhaul the current system of approvals for clinical trials in the EU. Specifically, the new legislation aims at simplifying and streamlining the approval of clinical trials in the EU. Under the new coordinated procedure for the approval of clinical trials, the sponsor of a clinical trial will be required to submit a single application for approval of a clinical trial to a reporting EU Member State (RMS) through an EU Portal. The submission procedure will be the same irrespective of whether the clinical trial is to be conducted in a single EU Member State or in more than one EU Member State.</w:t>
      </w:r>
    </w:p>
    <w:p>
      <w:pPr>
        <w:spacing w:after="0" w:line="178" w:lineRule="exact"/>
        <w:rPr>
          <w:sz w:val="20"/>
          <w:szCs w:val="20"/>
          <w:color w:val="auto"/>
        </w:rPr>
      </w:pPr>
    </w:p>
    <w:p>
      <w:pPr>
        <w:ind w:left="60" w:right="99" w:firstLine="441"/>
        <w:spacing w:after="0" w:line="271" w:lineRule="auto"/>
        <w:rPr>
          <w:sz w:val="20"/>
          <w:szCs w:val="20"/>
          <w:color w:val="auto"/>
        </w:rPr>
      </w:pPr>
      <w:r>
        <w:rPr>
          <w:rFonts w:ascii="Arial" w:cs="Arial" w:eastAsia="Arial" w:hAnsi="Arial"/>
          <w:sz w:val="17"/>
          <w:szCs w:val="17"/>
          <w:color w:val="auto"/>
        </w:rPr>
        <w:t>The Regulation was published on June 16, 2014 but has not yet become effective. In January 2020, the website of the European Commission reported that the implementation of the Clinical Trials Regulation was dependent on the development of a fully functional clinical trials portal and database, which would be confirmed by an independent audit, and that the new legislation would come into effect six months after the European Commission publishes a notice of this confirmation. The website indicated that the audit was expected to commence in December 2020. In late 2020, the EMA indicated that it plans to focus on the findings of a system audit; improving the usability, quality and stability of the clinical trial information system; and knowledge transfer to prepare users and their organizations for the new clinical trial system. The EMA has indicated that the system will go live in December 2021.</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Marketing Authorization</w:t>
      </w:r>
    </w:p>
    <w:p>
      <w:pPr>
        <w:spacing w:after="0" w:line="225" w:lineRule="exact"/>
        <w:rPr>
          <w:sz w:val="20"/>
          <w:szCs w:val="20"/>
          <w:color w:val="auto"/>
        </w:rPr>
      </w:pPr>
    </w:p>
    <w:p>
      <w:pPr>
        <w:ind w:left="60" w:right="179" w:firstLine="441"/>
        <w:spacing w:after="0" w:line="271" w:lineRule="auto"/>
        <w:rPr>
          <w:sz w:val="20"/>
          <w:szCs w:val="20"/>
          <w:color w:val="auto"/>
        </w:rPr>
      </w:pPr>
      <w:r>
        <w:rPr>
          <w:rFonts w:ascii="Arial" w:cs="Arial" w:eastAsia="Arial" w:hAnsi="Arial"/>
          <w:sz w:val="17"/>
          <w:szCs w:val="17"/>
          <w:color w:val="auto"/>
        </w:rPr>
        <w:t>To obtain marketing approval of a drug under European Union regulatory systems, an applicant must submit a marketing authorization application, or MAA, either under a centralized or decentralized procedure. The centralized procedure provides for the grant of a single marketing authorization by the European Commission that is valid for all European Union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78" w:lineRule="exact"/>
        <w:rPr>
          <w:sz w:val="20"/>
          <w:szCs w:val="20"/>
          <w:color w:val="auto"/>
        </w:rPr>
      </w:pPr>
    </w:p>
    <w:p>
      <w:pPr>
        <w:ind w:left="60" w:right="79" w:firstLine="441"/>
        <w:spacing w:after="0" w:line="270" w:lineRule="auto"/>
        <w:rPr>
          <w:sz w:val="20"/>
          <w:szCs w:val="20"/>
          <w:color w:val="auto"/>
        </w:rPr>
      </w:pPr>
      <w:r>
        <w:rPr>
          <w:rFonts w:ascii="Arial" w:cs="Arial" w:eastAsia="Arial" w:hAnsi="Arial"/>
          <w:sz w:val="17"/>
          <w:szCs w:val="17"/>
          <w:color w:val="auto"/>
        </w:rPr>
        <w:t>Under the centralized procedure, the Committee for Medicinal Products for Human Use, or the CHMP, established at the European Medicines Agency, or EMA, is responsible for conducting the initial assessment of a drug.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81" w:lineRule="exact"/>
        <w:rPr>
          <w:sz w:val="20"/>
          <w:szCs w:val="20"/>
          <w:color w:val="auto"/>
        </w:rPr>
      </w:pPr>
    </w:p>
    <w:p>
      <w:pPr>
        <w:ind w:left="60" w:right="119" w:firstLine="441"/>
        <w:spacing w:after="0" w:line="289" w:lineRule="auto"/>
        <w:rPr>
          <w:sz w:val="20"/>
          <w:szCs w:val="20"/>
          <w:color w:val="auto"/>
        </w:rPr>
      </w:pPr>
      <w:r>
        <w:rPr>
          <w:rFonts w:ascii="Arial" w:cs="Arial" w:eastAsia="Arial" w:hAnsi="Arial"/>
          <w:sz w:val="16"/>
          <w:szCs w:val="16"/>
          <w:color w:val="auto"/>
        </w:rPr>
        <w:t>The decentralized procedure is available to applicants who wish to market a product in various European Union member states where such product has not received marketing approval in any European Union member states before. The decentralized procedure provides for approval by one or more other, or concerned, member states of an assessment of an application performed by one member state designated by the applicant, known as the reference member state. Under this procedure, an applicant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210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66" w:lineRule="exact"/>
        <w:rPr>
          <w:sz w:val="20"/>
          <w:szCs w:val="20"/>
          <w:color w:val="auto"/>
        </w:rPr>
      </w:pPr>
    </w:p>
    <w:p>
      <w:pPr>
        <w:ind w:left="60" w:right="139" w:firstLine="441"/>
        <w:spacing w:after="0" w:line="263" w:lineRule="auto"/>
        <w:rPr>
          <w:sz w:val="20"/>
          <w:szCs w:val="20"/>
          <w:color w:val="auto"/>
        </w:rPr>
      </w:pPr>
      <w:r>
        <w:rPr>
          <w:rFonts w:ascii="Arial" w:cs="Arial" w:eastAsia="Arial" w:hAnsi="Arial"/>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Regulatory Data Protection in the European Union</w:t>
      </w:r>
    </w:p>
    <w:p>
      <w:pPr>
        <w:spacing w:after="0" w:line="225" w:lineRule="exact"/>
        <w:rPr>
          <w:sz w:val="20"/>
          <w:szCs w:val="20"/>
          <w:color w:val="auto"/>
        </w:rPr>
      </w:pPr>
    </w:p>
    <w:p>
      <w:pPr>
        <w:ind w:left="60" w:right="79" w:firstLine="441"/>
        <w:spacing w:after="0" w:line="286" w:lineRule="auto"/>
        <w:rPr>
          <w:sz w:val="20"/>
          <w:szCs w:val="20"/>
          <w:color w:val="auto"/>
        </w:rPr>
      </w:pPr>
      <w:r>
        <w:rPr>
          <w:rFonts w:ascii="Arial" w:cs="Arial" w:eastAsia="Arial" w:hAnsi="Arial"/>
          <w:sz w:val="16"/>
          <w:szCs w:val="16"/>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marketing authorization application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 of the authorizing EU Member State within three years after authorization ceases to be valid (the so-called sunset clause).</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ind w:left="60" w:right="319" w:firstLine="441"/>
        <w:spacing w:after="0" w:line="263"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184" w:lineRule="exact"/>
        <w:rPr>
          <w:sz w:val="20"/>
          <w:szCs w:val="20"/>
          <w:color w:val="auto"/>
        </w:rPr>
      </w:pPr>
    </w:p>
    <w:p>
      <w:pPr>
        <w:ind w:left="840" w:right="299" w:hanging="331"/>
        <w:spacing w:after="0" w:line="277"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197" w:lineRule="exact"/>
        <w:rPr>
          <w:rFonts w:ascii="Arial" w:cs="Arial" w:eastAsia="Arial" w:hAnsi="Arial"/>
          <w:sz w:val="18"/>
          <w:szCs w:val="18"/>
          <w:color w:val="auto"/>
        </w:rPr>
      </w:pPr>
    </w:p>
    <w:p>
      <w:pPr>
        <w:ind w:left="840" w:right="119" w:hanging="331"/>
        <w:spacing w:after="0" w:line="254"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221" w:lineRule="exact"/>
        <w:rPr>
          <w:rFonts w:ascii="Arial" w:cs="Arial" w:eastAsia="Arial" w:hAnsi="Arial"/>
          <w:sz w:val="18"/>
          <w:szCs w:val="18"/>
          <w:color w:val="auto"/>
        </w:rPr>
      </w:pPr>
    </w:p>
    <w:p>
      <w:pPr>
        <w:ind w:left="840" w:right="219" w:hanging="331"/>
        <w:spacing w:after="0" w:line="259"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 Direct-to-consumer advertising of prescription medicines is prohibited across the EU.</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Review and Approval of Medical Devices in the European Union</w:t>
      </w:r>
    </w:p>
    <w:p>
      <w:pPr>
        <w:spacing w:after="0" w:line="225" w:lineRule="exact"/>
        <w:rPr>
          <w:sz w:val="20"/>
          <w:szCs w:val="20"/>
          <w:color w:val="auto"/>
        </w:rPr>
      </w:pPr>
    </w:p>
    <w:p>
      <w:pPr>
        <w:ind w:left="60" w:right="119" w:firstLine="441"/>
        <w:spacing w:after="0" w:line="254" w:lineRule="auto"/>
        <w:rPr>
          <w:sz w:val="20"/>
          <w:szCs w:val="20"/>
          <w:color w:val="auto"/>
        </w:rPr>
      </w:pPr>
      <w:r>
        <w:rPr>
          <w:rFonts w:ascii="Arial" w:cs="Arial" w:eastAsia="Arial" w:hAnsi="Arial"/>
          <w:sz w:val="18"/>
          <w:szCs w:val="18"/>
          <w:color w:val="auto"/>
        </w:rPr>
        <w:t>The European Union has adopted numerous directives and standards regulating, among other things, the design, manufacture, clinical trials, labeling, approval and adverse event reporting for medical devices. In the European Union, or the EU, medical devices must comply with the Essential Requirements in Annex I to the currently applicable EU Medical Devices Directive (Council Directive 93/42/EEC), or the Essential Requirements. Compliance with these requirements is a prerequisite to be able to affix the CE Mark of Conformity to medical devices, without which they cannot be marketed or sold in the European Economic Area, or EEA, comprised of the European Union member states plus Norway, Iceland, and Liechtenstein.</w:t>
      </w:r>
    </w:p>
    <w:p>
      <w:pPr>
        <w:spacing w:after="0" w:line="195" w:lineRule="exact"/>
        <w:rPr>
          <w:sz w:val="20"/>
          <w:szCs w:val="20"/>
          <w:color w:val="auto"/>
        </w:rPr>
      </w:pPr>
    </w:p>
    <w:p>
      <w:pPr>
        <w:ind w:left="60" w:right="79" w:firstLine="441"/>
        <w:spacing w:after="0" w:line="288" w:lineRule="auto"/>
        <w:rPr>
          <w:sz w:val="20"/>
          <w:szCs w:val="20"/>
          <w:color w:val="auto"/>
        </w:rPr>
      </w:pPr>
      <w:r>
        <w:rPr>
          <w:rFonts w:ascii="Arial" w:cs="Arial" w:eastAsia="Arial" w:hAnsi="Arial"/>
          <w:sz w:val="16"/>
          <w:szCs w:val="16"/>
          <w:color w:val="auto"/>
        </w:rPr>
        <w:t>To demonstrate compliance with the Essential Requirements a manufacturer must undergo a conformity assessment procedure, which varies according to the type of medical device and its classification. Except for low risk medical devices, where the manufacturer can issue a CE Declaration of Conformity based on a self-assessment of the conformity of its products with the Essential Requirements, a conformity assessment procedure requires the intervention of a third-party organization designated by competent authorities of a European Union country to conduct conformity assessments, or a Notified Body. Notified Bodies are independent testing houses, laboratories, or product certifiers typically based within the European Union and authorized by the European member states to perform the required conformity assessment tasks, such as quality system audits and device compliance testing. The Notified Body would typically audit and examine the product’s Technical File and the quality system for the manufacture, design and final inspection of the product before issuing a CE Certificate of Conformity demonstrating compliance with the relevant Essential Requirements.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19" w:firstLine="441"/>
        <w:spacing w:after="0" w:line="269" w:lineRule="auto"/>
        <w:rPr>
          <w:sz w:val="20"/>
          <w:szCs w:val="20"/>
          <w:color w:val="auto"/>
        </w:rPr>
      </w:pPr>
      <w:r>
        <w:rPr>
          <w:rFonts w:ascii="Arial" w:cs="Arial" w:eastAsia="Arial" w:hAnsi="Arial"/>
          <w:sz w:val="17"/>
          <w:szCs w:val="17"/>
          <w:color w:val="auto"/>
        </w:rPr>
        <w:t>Medical device manufacturers must carry out a clinical evaluation of their medical devices to demonstrate conformity with the relevant Essential Requirements. This clinical evaluation is part of the product’s Technical File.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and warnings) and the suitability of related Instructions for Use. This assessment must be based on clinical data, which can be obtained from clinical studies conducted on the devices being assessed, scientific literature from similar devices whose equivalence with the assessed device can be demonstrated or both clinical studies and scientific literature.</w:t>
      </w:r>
    </w:p>
    <w:p>
      <w:pPr>
        <w:spacing w:after="0" w:line="185" w:lineRule="exact"/>
        <w:rPr>
          <w:sz w:val="20"/>
          <w:szCs w:val="20"/>
          <w:color w:val="auto"/>
        </w:rPr>
      </w:pPr>
    </w:p>
    <w:p>
      <w:pPr>
        <w:ind w:left="60" w:right="99" w:firstLine="441"/>
        <w:spacing w:after="0" w:line="293" w:lineRule="auto"/>
        <w:rPr>
          <w:sz w:val="20"/>
          <w:szCs w:val="20"/>
          <w:color w:val="auto"/>
        </w:rPr>
      </w:pPr>
      <w:r>
        <w:rPr>
          <w:rFonts w:ascii="Arial" w:cs="Arial" w:eastAsia="Arial" w:hAnsi="Arial"/>
          <w:sz w:val="16"/>
          <w:szCs w:val="16"/>
          <w:color w:val="auto"/>
        </w:rPr>
        <w:t>With respect to implantable devices or devices classified as Class III in the European Union, the manufacturer must conduct clinical studies to obtain the required clinical data, unless relying on existing clinical data from similar devices can be justified. As part of the conformity assessment process, depending on the type of devices, the Notified Body will review the manufacturer’s clinical evaluation process, assess the clinical evaluation data of a representative sample of the device’s subcategory or generic group, or assess all the clinical evaluation data, verify the manufacturer’s assessment of that data and assess the validity of the clinical evaluation report and the conclusions drawn by the manufacturer.</w:t>
      </w:r>
    </w:p>
    <w:p>
      <w:pPr>
        <w:spacing w:after="0" w:line="164" w:lineRule="exact"/>
        <w:rPr>
          <w:sz w:val="20"/>
          <w:szCs w:val="20"/>
          <w:color w:val="auto"/>
        </w:rPr>
      </w:pPr>
    </w:p>
    <w:p>
      <w:pPr>
        <w:ind w:left="60" w:right="179" w:firstLine="441"/>
        <w:spacing w:after="0" w:line="257" w:lineRule="auto"/>
        <w:rPr>
          <w:sz w:val="20"/>
          <w:szCs w:val="20"/>
          <w:color w:val="auto"/>
        </w:rPr>
      </w:pPr>
      <w:r>
        <w:rPr>
          <w:rFonts w:ascii="Arial" w:cs="Arial" w:eastAsia="Arial" w:hAnsi="Arial"/>
          <w:sz w:val="18"/>
          <w:szCs w:val="18"/>
          <w:color w:val="auto"/>
        </w:rPr>
        <w:t>Even after a manufacturer receives a CE Certificate of Conformity enabling the CE mark to be placed on it products and the right to sell the products in the EEA countries, a Notified Body or a competent authority may require post-marketing studies of the products. Failure to comply with such requirements in a timely manner could result in the withdrawal of the CE Certificate of Conformity and the recall or withdrawal of the subject product from the European market.</w:t>
      </w:r>
    </w:p>
    <w:p>
      <w:pPr>
        <w:spacing w:after="0" w:line="188" w:lineRule="exact"/>
        <w:rPr>
          <w:sz w:val="20"/>
          <w:szCs w:val="20"/>
          <w:color w:val="auto"/>
        </w:rPr>
      </w:pPr>
    </w:p>
    <w:p>
      <w:pPr>
        <w:ind w:left="60" w:right="139" w:firstLine="441"/>
        <w:spacing w:after="0" w:line="272" w:lineRule="auto"/>
        <w:rPr>
          <w:sz w:val="20"/>
          <w:szCs w:val="20"/>
          <w:color w:val="auto"/>
        </w:rPr>
      </w:pPr>
      <w:r>
        <w:rPr>
          <w:rFonts w:ascii="Arial" w:cs="Arial" w:eastAsia="Arial" w:hAnsi="Arial"/>
          <w:sz w:val="17"/>
          <w:szCs w:val="17"/>
          <w:color w:val="auto"/>
        </w:rPr>
        <w:t>A manufacturer must inform the Notified Body that carried out the conformity assessment of the medical devices of any planned substantial changes to the devices which could affect compliance with the Essential Requirements or the devices’ intended purpose. The Notified Body will then assess the changes and verify whether they affect the product’s conformity with the Essential Requirements or the conditions for the use of the devices. If the assessment is favorable, the Notified Body will issue a new CE Certificate of Conformity or an addendum to the existing CE Certificate of Conformity attesting compliance with the Essential Requirements. If it is not, the manufacturer may not be able to continue to market and sell the product in the EEA.</w:t>
      </w:r>
    </w:p>
    <w:p>
      <w:pPr>
        <w:spacing w:after="0" w:line="177" w:lineRule="exact"/>
        <w:rPr>
          <w:sz w:val="20"/>
          <w:szCs w:val="20"/>
          <w:color w:val="auto"/>
        </w:rPr>
      </w:pPr>
    </w:p>
    <w:p>
      <w:pPr>
        <w:ind w:left="60" w:right="199" w:firstLine="441"/>
        <w:spacing w:after="0" w:line="272" w:lineRule="auto"/>
        <w:rPr>
          <w:sz w:val="20"/>
          <w:szCs w:val="20"/>
          <w:color w:val="auto"/>
        </w:rPr>
      </w:pPr>
      <w:r>
        <w:rPr>
          <w:rFonts w:ascii="Arial" w:cs="Arial" w:eastAsia="Arial" w:hAnsi="Arial"/>
          <w:sz w:val="17"/>
          <w:szCs w:val="17"/>
          <w:color w:val="auto"/>
        </w:rPr>
        <w:t>In the European Union, medical devices may be promoted only for the intended purpose for which the devices have been CE marked. Failure to comply with this requirement could lead to the imposition of penalties by the competent authorities of the European Union Member States. The penalties could include warnings, orders to discontinue the promotion of the medical device, seizure of the promotional materials and fines. Promotional materials must also comply with various laws and codes of conduct developed by medical device industry bodies in the European Union governing promotional claims, comparative advertising, advertising of medical devices reimbursed by the national health insurance systems and advertising to the general public.</w:t>
      </w:r>
    </w:p>
    <w:p>
      <w:pPr>
        <w:spacing w:after="0" w:line="177" w:lineRule="exact"/>
        <w:rPr>
          <w:sz w:val="20"/>
          <w:szCs w:val="20"/>
          <w:color w:val="auto"/>
        </w:rPr>
      </w:pPr>
    </w:p>
    <w:p>
      <w:pPr>
        <w:ind w:left="60" w:right="139" w:firstLine="441"/>
        <w:spacing w:after="0" w:line="269" w:lineRule="auto"/>
        <w:rPr>
          <w:sz w:val="20"/>
          <w:szCs w:val="20"/>
          <w:color w:val="auto"/>
        </w:rPr>
      </w:pPr>
      <w:r>
        <w:rPr>
          <w:rFonts w:ascii="Arial" w:cs="Arial" w:eastAsia="Arial" w:hAnsi="Arial"/>
          <w:sz w:val="17"/>
          <w:szCs w:val="17"/>
          <w:color w:val="auto"/>
        </w:rPr>
        <w:t>Additionally, all manufacturers placing medical devices in the market in the European Union are legally bound to report any serious or potentially serious incidents involving devices they produce or sell to the competent authority in whose jurisdiction the incident occurred. In the European Union, manufacturers must comply with the EU Medical Device Vigilance System. Under this system, incidents must be reported to the relevant authorities of the European Union countries,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European Authorized Representative to its customers and to the end users of the device through Field Safety Notices.</w:t>
      </w:r>
    </w:p>
    <w:p>
      <w:pPr>
        <w:spacing w:after="0" w:line="179" w:lineRule="exact"/>
        <w:rPr>
          <w:sz w:val="20"/>
          <w:szCs w:val="20"/>
          <w:color w:val="auto"/>
        </w:rPr>
      </w:pPr>
    </w:p>
    <w:p>
      <w:pPr>
        <w:ind w:left="60" w:right="559" w:firstLine="441"/>
        <w:spacing w:after="0" w:line="342" w:lineRule="auto"/>
        <w:rPr>
          <w:sz w:val="20"/>
          <w:szCs w:val="20"/>
          <w:color w:val="auto"/>
        </w:rPr>
      </w:pPr>
      <w:r>
        <w:rPr>
          <w:rFonts w:ascii="Arial" w:cs="Arial" w:eastAsia="Arial" w:hAnsi="Arial"/>
          <w:sz w:val="16"/>
          <w:szCs w:val="16"/>
          <w:color w:val="auto"/>
        </w:rPr>
        <w:t>The legal framework currently applicable for medical devices in the European Union will soon be amended by Medical Devices Regulation (Regulation (EU) 2017/745) adopted in 2017, which we refer to as the MDR and which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repeals and replaces the EU Medical Devices Directive. Unlike directives, which must be implemented into the national laws of the European Economic Area, or EEA, member states, the MDR will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and ensure a high level of safety and health.</w:t>
      </w:r>
    </w:p>
    <w:p>
      <w:pPr>
        <w:spacing w:after="0" w:line="192" w:lineRule="exact"/>
        <w:rPr>
          <w:sz w:val="20"/>
          <w:szCs w:val="20"/>
          <w:color w:val="auto"/>
        </w:rPr>
      </w:pPr>
    </w:p>
    <w:p>
      <w:pPr>
        <w:ind w:left="60" w:right="379" w:firstLine="441"/>
        <w:spacing w:after="0" w:line="277" w:lineRule="auto"/>
        <w:rPr>
          <w:sz w:val="20"/>
          <w:szCs w:val="20"/>
          <w:color w:val="auto"/>
        </w:rPr>
      </w:pPr>
      <w:r>
        <w:rPr>
          <w:rFonts w:ascii="Arial" w:cs="Arial" w:eastAsia="Arial" w:hAnsi="Arial"/>
          <w:sz w:val="18"/>
          <w:szCs w:val="18"/>
          <w:color w:val="auto"/>
        </w:rPr>
        <w:t>Currently, the MDR is scheduled to become applicable on May 26, 2021. Once applicable, the MDR will, among other things:</w:t>
      </w:r>
    </w:p>
    <w:p>
      <w:pPr>
        <w:spacing w:after="0" w:line="170" w:lineRule="exact"/>
        <w:rPr>
          <w:sz w:val="20"/>
          <w:szCs w:val="20"/>
          <w:color w:val="auto"/>
        </w:rPr>
      </w:pPr>
    </w:p>
    <w:p>
      <w:pPr>
        <w:ind w:left="800" w:hanging="318"/>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strengthen the rules on placing devices on the market and reinforce surveillance once they are available;</w:t>
      </w:r>
    </w:p>
    <w:p>
      <w:pPr>
        <w:spacing w:after="0" w:line="263" w:lineRule="exact"/>
        <w:rPr>
          <w:rFonts w:ascii="Arial" w:cs="Arial" w:eastAsia="Arial" w:hAnsi="Arial"/>
          <w:sz w:val="17"/>
          <w:szCs w:val="17"/>
          <w:color w:val="auto"/>
        </w:rPr>
      </w:pPr>
    </w:p>
    <w:p>
      <w:pPr>
        <w:ind w:left="800" w:right="159" w:hanging="318"/>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97" w:lineRule="exact"/>
        <w:rPr>
          <w:rFonts w:ascii="Arial" w:cs="Arial" w:eastAsia="Arial" w:hAnsi="Arial"/>
          <w:sz w:val="18"/>
          <w:szCs w:val="18"/>
          <w:color w:val="auto"/>
        </w:rPr>
      </w:pPr>
    </w:p>
    <w:p>
      <w:pPr>
        <w:ind w:left="800" w:right="459" w:hanging="318"/>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197" w:lineRule="exact"/>
        <w:rPr>
          <w:rFonts w:ascii="Arial" w:cs="Arial" w:eastAsia="Arial" w:hAnsi="Arial"/>
          <w:sz w:val="18"/>
          <w:szCs w:val="18"/>
          <w:color w:val="auto"/>
        </w:rPr>
      </w:pPr>
    </w:p>
    <w:p>
      <w:pPr>
        <w:ind w:left="800" w:right="699" w:hanging="318"/>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197" w:lineRule="exact"/>
        <w:rPr>
          <w:rFonts w:ascii="Arial" w:cs="Arial" w:eastAsia="Arial" w:hAnsi="Arial"/>
          <w:sz w:val="18"/>
          <w:szCs w:val="18"/>
          <w:color w:val="auto"/>
        </w:rPr>
      </w:pPr>
    </w:p>
    <w:p>
      <w:pPr>
        <w:ind w:left="800" w:right="119" w:hanging="318"/>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such as implants, which may have to undergo an additional check by experts before they are placed on the market.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25" w:lineRule="exact"/>
        <w:rPr>
          <w:sz w:val="20"/>
          <w:szCs w:val="20"/>
          <w:color w:val="auto"/>
        </w:rPr>
      </w:pPr>
    </w:p>
    <w:p>
      <w:pPr>
        <w:ind w:left="60" w:right="159" w:firstLine="441"/>
        <w:spacing w:after="0" w:line="268" w:lineRule="auto"/>
        <w:rPr>
          <w:sz w:val="20"/>
          <w:szCs w:val="20"/>
          <w:color w:val="auto"/>
        </w:rPr>
      </w:pPr>
      <w:r>
        <w:rPr>
          <w:rFonts w:ascii="Arial" w:cs="Arial" w:eastAsia="Arial" w:hAnsi="Arial"/>
          <w:sz w:val="17"/>
          <w:szCs w:val="17"/>
          <w:color w:val="auto"/>
        </w:rPr>
        <w:t>On June 23, 2016, the electorate in the United Kingdom voted in favor of leaving the EU, commonly referred to as Brexit. Following protracted negotiations, the United Kingdom left the EU on January 31, 2020. Under the withdrawal agreement, there is a transitional period until December 31, 2020 (extendable by up to two years). On December 24, 2020, the United Kingdom and the European Union entered into a Trade and Cooperation Agreement. The agreement sets out certain procedures for approval and recognition of medical products in each jurisdiction.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UK, as the UK legislation now has the potential to diverge from EU legislation. It remains to be seen how Brexit will impact regulatory requirements for product candidates and products in the UK in the long-term. The MHRA has recently published detailed guidance for industry and organizations to follow from January 1, 2021 now the transition period is over, which will be updated as the UK’s regulatory position on medicinal products evolves over time.</w:t>
      </w:r>
    </w:p>
    <w:p>
      <w:pPr>
        <w:spacing w:after="0" w:line="186" w:lineRule="exact"/>
        <w:rPr>
          <w:sz w:val="20"/>
          <w:szCs w:val="20"/>
          <w:color w:val="auto"/>
        </w:rPr>
      </w:pPr>
    </w:p>
    <w:p>
      <w:pPr>
        <w:ind w:left="60" w:right="159" w:firstLine="441"/>
        <w:spacing w:after="0" w:line="288" w:lineRule="auto"/>
        <w:rPr>
          <w:sz w:val="20"/>
          <w:szCs w:val="20"/>
          <w:color w:val="auto"/>
        </w:rPr>
      </w:pPr>
      <w:r>
        <w:rPr>
          <w:rFonts w:ascii="Arial" w:cs="Arial" w:eastAsia="Arial" w:hAnsi="Arial"/>
          <w:sz w:val="16"/>
          <w:szCs w:val="16"/>
          <w:color w:val="auto"/>
        </w:rPr>
        <w:t>Furthermore, while the Data Protection Act of 2018 in the United Kingdom that “implements” and complements the European Union’s General Data Protection Regulation, or GDPR, has achieved Royal Assent on May 23, 2018 and is now effective in the United Kingdom, it is still unclear whether transfer of data from the European Economic Area, or EEA, to the United Kingdom will remain lawful under GDPR. The Trade and Cooperation Agreement provides for a transitional period during which the United Kingdom will be treated like an European Union member state in relation to processing and transfers of personal data for four months from January 1, 2021. This may be extended by two further months. After such period, the United Kingdom will be a “third country” under the GDPR unless the European Commission adopts an adequacy decision in respect of transfers of personal data to the United Kingdom. The United Kingdom has already determined that it considers all of the EU 27 and EEA member states to be adequate for the purposes of data protection, ensuring that data flows from the United Kingdom to the EU/EEA remain unaffected.</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Data Protection Regulation</w:t>
      </w:r>
    </w:p>
    <w:p>
      <w:pPr>
        <w:spacing w:after="0" w:line="225" w:lineRule="exact"/>
        <w:rPr>
          <w:sz w:val="20"/>
          <w:szCs w:val="20"/>
          <w:color w:val="auto"/>
        </w:rPr>
      </w:pPr>
    </w:p>
    <w:p>
      <w:pPr>
        <w:ind w:left="60" w:right="119" w:firstLine="441"/>
        <w:spacing w:after="0" w:line="311"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ind w:left="60" w:right="79" w:firstLine="441"/>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in the United States such as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168" w:lineRule="exact"/>
        <w:rPr>
          <w:sz w:val="20"/>
          <w:szCs w:val="20"/>
          <w:color w:val="auto"/>
        </w:rPr>
      </w:pPr>
    </w:p>
    <w:p>
      <w:pPr>
        <w:ind w:left="60" w:right="79" w:firstLine="441"/>
        <w:spacing w:after="0" w:line="255"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product does not imply that an adequate reimbursement rate will be approved. Third-party reimbursement may not be sufficient to maintain price levels high enough to realize an appropriate return on investment in product development.</w:t>
      </w:r>
    </w:p>
    <w:p>
      <w:pPr>
        <w:spacing w:after="0" w:line="192" w:lineRule="exact"/>
        <w:rPr>
          <w:sz w:val="20"/>
          <w:szCs w:val="20"/>
          <w:color w:val="auto"/>
        </w:rPr>
      </w:pPr>
    </w:p>
    <w:p>
      <w:pPr>
        <w:ind w:left="60" w:right="119" w:firstLine="441"/>
        <w:spacing w:after="0" w:line="269" w:lineRule="auto"/>
        <w:rPr>
          <w:sz w:val="20"/>
          <w:szCs w:val="20"/>
          <w:color w:val="auto"/>
        </w:rPr>
      </w:pPr>
      <w:r>
        <w:rPr>
          <w:rFonts w:ascii="Arial" w:cs="Arial" w:eastAsia="Arial" w:hAnsi="Arial"/>
          <w:sz w:val="17"/>
          <w:szCs w:val="17"/>
          <w:color w:val="auto"/>
        </w:rPr>
        <w:t>Section 1833(t)(6) of the Social Security Act provides for temporary additional payments or “transitional pass-through payments” for certain drugs and biological agents. As originally enacted by the Balanced Budget Refinement Act of 1999, this provision required Centers for Medicare and Medicaid Services, or CMS, to make additional payments to hospitals for current orphan drugs, as designated under section 526 of the FDCA; current drugs and biological agents and brachytherapy sources used for the treatment of cancer; and current radiopharmaceutical drugs and biological products. Transitional pass-through payments are also provided for certain new drugs, devices and biological agents that were not paid for as a hospital outpatient department service as of December 31, 1996, and whose cost is “not insignificant” in relation to the Outpatient Prospective Payment System payment for the procedures or services associated with the new drug, device, or biological. Under the statute, transitional pass-through payments can be made for at least two years but not more than three years.</w:t>
      </w:r>
    </w:p>
    <w:p>
      <w:pPr>
        <w:spacing w:after="0" w:line="185" w:lineRule="exact"/>
        <w:rPr>
          <w:sz w:val="20"/>
          <w:szCs w:val="20"/>
          <w:color w:val="auto"/>
        </w:rPr>
      </w:pPr>
    </w:p>
    <w:p>
      <w:pPr>
        <w:ind w:left="60" w:right="99" w:firstLine="441"/>
        <w:spacing w:after="0" w:line="288" w:lineRule="auto"/>
        <w:rPr>
          <w:sz w:val="20"/>
          <w:szCs w:val="20"/>
          <w:color w:val="auto"/>
        </w:rPr>
      </w:pPr>
      <w:r>
        <w:rPr>
          <w:rFonts w:ascii="Arial" w:cs="Arial" w:eastAsia="Arial" w:hAnsi="Arial"/>
          <w:sz w:val="16"/>
          <w:szCs w:val="16"/>
          <w:color w:val="auto"/>
        </w:rPr>
        <w:t>We applied for a transitional pass-through reimbursement status on November 30, 2018 for DEXTENZA from CMS. In May 2019, we received formal notification from CMS that it had approved transitional pass-through payment status and established an interim billing code, known as a C-Code, for DEXTENZA that subsequently became effective on July 1, 2019. We also submitted an application to CMS for a J-Code for DEXTENZA in December 2018 and received a specific and permanent J-Code J1096 in July 2019 which became effective on October 1, 2019. With the effectiveness of our permanent J-Code for DEXTENZA as of October 1, 2019, our C-code is no longer in effect. J-Codes are familiar to both medical practices and their billing staffs, as well as Medicare (Part B and Part C) and commercial insurers. As a result, J-Codes generally allow for a simpler and more convenient reimbursement process. We expect pricing for DEXTENZA while in pass-through payment status to be approximately $538 per insert, and we expect pass-through status to remain in effect for up to three years from the effective date of the C-code, or July 1, 2019.</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441"/>
        <w:spacing w:after="0" w:line="286" w:lineRule="auto"/>
        <w:rPr>
          <w:sz w:val="20"/>
          <w:szCs w:val="20"/>
          <w:color w:val="auto"/>
        </w:rPr>
      </w:pPr>
      <w:r>
        <w:rPr>
          <w:rFonts w:ascii="Arial" w:cs="Arial" w:eastAsia="Arial" w:hAnsi="Arial"/>
          <w:sz w:val="16"/>
          <w:szCs w:val="16"/>
          <w:color w:val="auto"/>
        </w:rPr>
        <w:t>To date, four of seven Medicare Administrative Contractors, or MACs, have established physician fee schedules for the Category III Current Procedural Terminology, or CPT, procedure code 0356T currently in effect for the administration of drug-eluting intracanalicular inserts, including DEXTENZA: Novitas Solutions, Inc., or Novitas; First Coast Service Options, Inc., or First Coast; National Government Services, Inc., or NGS; and Wisconsin Physician Services, Inc, or WPS. The professional fee for CPT code 0356T is now eligible for physician payment for each insertion, in accordance with the applicable MAC’s fee schedule. Novitas covers Medicare patients in New Mexico, Texas, Colorado, Oklahoma, Arkansas, Louisiana, Mississippi, New Jersey, Pennsylvania, Delaware, Virginia and the District of Columbia. First Coast covers Medicare patients in Florida, Puerto Rico, and the U.S. Virgin Islands. NGS covers Medicare patients in Illinois, Minnesota, Wisconsin, New York, Massachusetts, Connecticut, New Hampshire, Maine, Rhode Island, and Vermont. Wisconsin Physician Services, Inc. covers Medicare beneficiaries in Iowa, Kansas, Missouri, Nebraska, Indiana and Michigan. Combined, Novitas, First Coast, NGS and WPS cover over 60% of all Medicare beneficiaries. As of March 1, 2021, all seven MACs were reimbursing providers for intracanalicular insertions under CPT code 0356T despite only four of them having published physician fee schedules for the procedure.</w:t>
      </w:r>
    </w:p>
    <w:p>
      <w:pPr>
        <w:spacing w:after="0" w:line="174" w:lineRule="exact"/>
        <w:rPr>
          <w:sz w:val="20"/>
          <w:szCs w:val="20"/>
          <w:color w:val="auto"/>
        </w:rPr>
      </w:pPr>
    </w:p>
    <w:p>
      <w:pPr>
        <w:ind w:left="60" w:right="79" w:firstLine="441"/>
        <w:spacing w:after="0" w:line="273" w:lineRule="auto"/>
        <w:rPr>
          <w:sz w:val="20"/>
          <w:szCs w:val="20"/>
          <w:color w:val="auto"/>
        </w:rPr>
      </w:pPr>
      <w:r>
        <w:rPr>
          <w:rFonts w:ascii="Arial" w:cs="Arial" w:eastAsia="Arial" w:hAnsi="Arial"/>
          <w:sz w:val="17"/>
          <w:szCs w:val="17"/>
          <w:color w:val="auto"/>
        </w:rPr>
        <w:t>On November 4, 2020, we announced that our application to the American Medical Association CPT Editorial Panel, or the Panel, for the creation of a Category I CPT procedure code had been granted. Category I CPT codes normally have a standardized Medicare physician fee schedule. As a result, they can improve coverage and payment across all payers for procedures performed in both the ASC and physician office settings. The Panel has agreed to create a permanent Category I CPT procedure code, effective January 1, 2022, to replace CPT code 0356T currently in effect for the administration of drug-eluting intracanalicular inserts including DEXTENZA.</w:t>
      </w:r>
    </w:p>
    <w:p>
      <w:pPr>
        <w:spacing w:after="0" w:line="178" w:lineRule="exact"/>
        <w:rPr>
          <w:sz w:val="20"/>
          <w:szCs w:val="20"/>
          <w:color w:val="auto"/>
        </w:rPr>
      </w:pPr>
    </w:p>
    <w:p>
      <w:pPr>
        <w:ind w:left="60" w:right="79" w:firstLine="441"/>
        <w:spacing w:after="0" w:line="268"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Healthcare Law and Regulation</w:t>
      </w:r>
    </w:p>
    <w:p>
      <w:pPr>
        <w:spacing w:after="0" w:line="229" w:lineRule="exact"/>
        <w:rPr>
          <w:sz w:val="20"/>
          <w:szCs w:val="20"/>
          <w:color w:val="auto"/>
        </w:rPr>
      </w:pPr>
    </w:p>
    <w:p>
      <w:pPr>
        <w:ind w:left="60" w:right="199" w:firstLine="441"/>
        <w:spacing w:after="0" w:line="301" w:lineRule="auto"/>
        <w:rPr>
          <w:sz w:val="20"/>
          <w:szCs w:val="20"/>
          <w:color w:val="auto"/>
        </w:rPr>
      </w:pPr>
      <w:r>
        <w:rPr>
          <w:rFonts w:ascii="Arial" w:cs="Arial" w:eastAsia="Arial" w:hAnsi="Arial"/>
          <w:sz w:val="16"/>
          <w:szCs w:val="16"/>
          <w:color w:val="auto"/>
        </w:rPr>
        <w:t>Healthcare providers, physicians and third-party payors play a primary role in the recommendation and prescription of drug products that are granted marketing approval. Arrangements with providers, consultants, third-party payors and customers are subject to broadly applicable fraud and abuse and other healthcare laws and regulations. Such restrictions under applicable federal and state healthcare laws and regulations, include the following:</w:t>
      </w:r>
    </w:p>
    <w:p>
      <w:pPr>
        <w:spacing w:after="0" w:line="157" w:lineRule="exact"/>
        <w:rPr>
          <w:sz w:val="20"/>
          <w:szCs w:val="20"/>
          <w:color w:val="auto"/>
        </w:rPr>
      </w:pPr>
    </w:p>
    <w:p>
      <w:pPr>
        <w:ind w:left="840" w:right="119" w:hanging="331"/>
        <w:spacing w:after="0" w:line="257" w:lineRule="auto"/>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214" w:lineRule="exact"/>
        <w:rPr>
          <w:rFonts w:ascii="Arial" w:cs="Arial" w:eastAsia="Arial" w:hAnsi="Arial"/>
          <w:sz w:val="18"/>
          <w:szCs w:val="18"/>
          <w:color w:val="auto"/>
        </w:rPr>
      </w:pPr>
    </w:p>
    <w:p>
      <w:pPr>
        <w:ind w:left="840" w:right="259" w:hanging="331"/>
        <w:spacing w:after="0" w:line="259" w:lineRule="auto"/>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13" w:lineRule="exact"/>
        <w:rPr>
          <w:rFonts w:ascii="Arial" w:cs="Arial" w:eastAsia="Arial" w:hAnsi="Arial"/>
          <w:sz w:val="18"/>
          <w:szCs w:val="18"/>
          <w:color w:val="auto"/>
        </w:rPr>
      </w:pPr>
    </w:p>
    <w:p>
      <w:pPr>
        <w:ind w:left="840" w:right="99" w:hanging="331"/>
        <w:spacing w:after="0" w:line="263" w:lineRule="auto"/>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40" w:right="579" w:hanging="331"/>
        <w:spacing w:after="0" w:line="279" w:lineRule="auto"/>
        <w:tabs>
          <w:tab w:leader="none" w:pos="8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including the Final Omnibus Rule published in January 2013, also imposes obligations, including mandatory contractual terms, with respect to safeguarding the privacy, security and transmission of individually identifiable health information;</w:t>
      </w:r>
    </w:p>
    <w:p>
      <w:pPr>
        <w:spacing w:after="0" w:line="198" w:lineRule="exact"/>
        <w:rPr>
          <w:rFonts w:ascii="Arial" w:cs="Arial" w:eastAsia="Arial" w:hAnsi="Arial"/>
          <w:sz w:val="17"/>
          <w:szCs w:val="17"/>
          <w:color w:val="auto"/>
        </w:rPr>
      </w:pPr>
    </w:p>
    <w:p>
      <w:pPr>
        <w:ind w:left="840" w:right="419" w:hanging="331"/>
        <w:spacing w:after="0" w:line="263" w:lineRule="auto"/>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210" w:lineRule="exact"/>
        <w:rPr>
          <w:rFonts w:ascii="Arial" w:cs="Arial" w:eastAsia="Arial" w:hAnsi="Arial"/>
          <w:sz w:val="18"/>
          <w:szCs w:val="18"/>
          <w:color w:val="auto"/>
        </w:rPr>
      </w:pPr>
    </w:p>
    <w:p>
      <w:pPr>
        <w:ind w:left="840" w:right="239" w:hanging="331"/>
        <w:spacing w:after="0" w:line="263" w:lineRule="auto"/>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210" w:lineRule="exact"/>
        <w:rPr>
          <w:rFonts w:ascii="Arial" w:cs="Arial" w:eastAsia="Arial" w:hAnsi="Arial"/>
          <w:sz w:val="18"/>
          <w:szCs w:val="18"/>
          <w:color w:val="auto"/>
        </w:rPr>
      </w:pPr>
    </w:p>
    <w:p>
      <w:pPr>
        <w:ind w:left="840" w:right="99" w:hanging="331"/>
        <w:spacing w:after="0" w:line="257" w:lineRule="auto"/>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known as the federal Physician Payments Sunshine Act, will require certain manufacturers of drugs, devices, biologics and medical supplies to report to CMS within the Department of Health and Human Services information related to payments and other transfers of value to physicians and teaching hospitals and physician ownership and investment interests held by physicians and their immediate family members; and</w:t>
      </w:r>
    </w:p>
    <w:p>
      <w:pPr>
        <w:spacing w:after="0" w:line="214" w:lineRule="exact"/>
        <w:rPr>
          <w:rFonts w:ascii="Arial" w:cs="Arial" w:eastAsia="Arial" w:hAnsi="Arial"/>
          <w:sz w:val="18"/>
          <w:szCs w:val="18"/>
          <w:color w:val="auto"/>
        </w:rPr>
      </w:pPr>
    </w:p>
    <w:p>
      <w:pPr>
        <w:ind w:left="840" w:right="259" w:hanging="331"/>
        <w:spacing w:after="0" w:line="263" w:lineRule="auto"/>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84" w:lineRule="exact"/>
        <w:rPr>
          <w:sz w:val="20"/>
          <w:szCs w:val="20"/>
          <w:color w:val="auto"/>
        </w:rPr>
      </w:pPr>
    </w:p>
    <w:p>
      <w:pPr>
        <w:ind w:left="60" w:right="399" w:firstLine="441"/>
        <w:spacing w:after="0" w:line="255"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60" w:right="539" w:firstLine="441"/>
        <w:spacing w:after="0" w:line="279" w:lineRule="auto"/>
        <w:rPr>
          <w:sz w:val="20"/>
          <w:szCs w:val="20"/>
          <w:color w:val="auto"/>
        </w:rPr>
      </w:pPr>
      <w:r>
        <w:rPr>
          <w:rFonts w:ascii="Arial" w:cs="Arial" w:eastAsia="Arial" w:hAnsi="Arial"/>
          <w:sz w:val="17"/>
          <w:szCs w:val="17"/>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71" w:lineRule="exact"/>
        <w:rPr>
          <w:sz w:val="20"/>
          <w:szCs w:val="20"/>
          <w:color w:val="auto"/>
        </w:rPr>
      </w:pPr>
    </w:p>
    <w:p>
      <w:pPr>
        <w:ind w:left="60" w:right="179" w:firstLine="441"/>
        <w:spacing w:after="0" w:line="342" w:lineRule="auto"/>
        <w:rPr>
          <w:sz w:val="20"/>
          <w:szCs w:val="20"/>
          <w:color w:val="auto"/>
        </w:rPr>
      </w:pPr>
      <w:r>
        <w:rPr>
          <w:rFonts w:ascii="Arial" w:cs="Arial" w:eastAsia="Arial" w:hAnsi="Arial"/>
          <w:sz w:val="16"/>
          <w:szCs w:val="16"/>
          <w:color w:val="auto"/>
        </w:rPr>
        <w:t>In March 2010, the United States Congress enacted the Patient Protection and Affordable Care Act, or ACA, which, among other things, includes changes to the coverage and payment for products under government health care programs.</w:t>
      </w:r>
    </w:p>
    <w:p>
      <w:pPr>
        <w:spacing w:after="0" w:line="124" w:lineRule="exact"/>
        <w:rPr>
          <w:sz w:val="20"/>
          <w:szCs w:val="20"/>
          <w:color w:val="auto"/>
        </w:rPr>
      </w:pPr>
    </w:p>
    <w:p>
      <w:pPr>
        <w:ind w:left="60" w:right="99" w:firstLine="441"/>
        <w:spacing w:after="0" w:line="285" w:lineRule="auto"/>
        <w:rPr>
          <w:sz w:val="20"/>
          <w:szCs w:val="20"/>
          <w:color w:val="auto"/>
        </w:rPr>
      </w:pPr>
      <w:r>
        <w:rPr>
          <w:rFonts w:ascii="Arial" w:cs="Arial" w:eastAsia="Arial" w:hAnsi="Arial"/>
          <w:sz w:val="16"/>
          <w:szCs w:val="16"/>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w:t>
      </w:r>
    </w:p>
    <w:p>
      <w:pPr>
        <w:spacing w:after="0" w:line="2"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2% per fiscal year, which went into effect in April 2013 and will remain in effect through 2030 under the Coronavirus Aid, Relief, and Economic Security Act, or the CARES Act.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441"/>
        <w:spacing w:after="0" w:line="286" w:lineRule="auto"/>
        <w:rPr>
          <w:sz w:val="20"/>
          <w:szCs w:val="20"/>
          <w:color w:val="auto"/>
        </w:rPr>
      </w:pPr>
      <w:r>
        <w:rPr>
          <w:rFonts w:ascii="Arial" w:cs="Arial" w:eastAsia="Arial" w:hAnsi="Arial"/>
          <w:sz w:val="16"/>
          <w:szCs w:val="16"/>
          <w:color w:val="auto"/>
        </w:rPr>
        <w:t>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affirmed the lower court’s ruling that the individual mandate portion of the ACA is unconstitutional and it remanded the case to the district court for reconsideration of the severability question and additional analysis of the provisions of the ACA. Thereafter, the U.S. Supreme Court agreed to hear this case. Oral argument in the case took place on November 10, 2020. On February 10, 2021, the Biden Administration withdrew DOJ’s support for this lawsuit. A ruling by the U.S. Supreme Court is expected sometime this year. Litigation and legislation over the ACA are likely to continue, with unpredictable and uncertain results.</w:t>
      </w:r>
    </w:p>
    <w:p>
      <w:pPr>
        <w:spacing w:after="0" w:line="174" w:lineRule="exact"/>
        <w:rPr>
          <w:sz w:val="20"/>
          <w:szCs w:val="20"/>
          <w:color w:val="auto"/>
        </w:rPr>
      </w:pPr>
    </w:p>
    <w:p>
      <w:pPr>
        <w:ind w:left="60" w:right="119" w:firstLine="441"/>
        <w:spacing w:after="0" w:line="269" w:lineRule="auto"/>
        <w:rPr>
          <w:sz w:val="20"/>
          <w:szCs w:val="20"/>
          <w:color w:val="auto"/>
        </w:rPr>
      </w:pPr>
      <w:r>
        <w:rPr>
          <w:rFonts w:ascii="Arial" w:cs="Arial" w:eastAsia="Arial" w:hAnsi="Arial"/>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rescinded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179" w:lineRule="exact"/>
        <w:rPr>
          <w:sz w:val="20"/>
          <w:szCs w:val="20"/>
          <w:color w:val="auto"/>
        </w:rPr>
      </w:pPr>
    </w:p>
    <w:p>
      <w:pPr>
        <w:ind w:left="60" w:right="139" w:firstLine="441"/>
        <w:spacing w:after="0" w:line="269" w:lineRule="auto"/>
        <w:rPr>
          <w:sz w:val="20"/>
          <w:szCs w:val="20"/>
          <w:color w:val="auto"/>
        </w:rPr>
      </w:pPr>
      <w:r>
        <w:rPr>
          <w:rFonts w:ascii="Arial" w:cs="Arial" w:eastAsia="Arial" w:hAnsi="Arial"/>
          <w:sz w:val="17"/>
          <w:szCs w:val="17"/>
          <w:color w:val="auto"/>
        </w:rPr>
        <w:t>The costs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To those ends, President Trump issued five executive orders intended to lower the costs of prescription drug products but it is unclear whether, and to what extent, these orders will remain in force under the Biden Administration. Further,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179" w:lineRule="exact"/>
        <w:rPr>
          <w:sz w:val="20"/>
          <w:szCs w:val="20"/>
          <w:color w:val="auto"/>
        </w:rPr>
      </w:pPr>
    </w:p>
    <w:p>
      <w:pPr>
        <w:ind w:left="60" w:right="139" w:firstLine="441"/>
        <w:spacing w:after="0" w:line="288"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60" w:right="699" w:firstLine="441"/>
        <w:spacing w:after="0" w:line="277" w:lineRule="auto"/>
        <w:rPr>
          <w:sz w:val="20"/>
          <w:szCs w:val="20"/>
          <w:color w:val="auto"/>
        </w:rPr>
      </w:pPr>
      <w:r>
        <w:rPr>
          <w:rFonts w:ascii="Arial" w:cs="Arial" w:eastAsia="Arial" w:hAnsi="Arial"/>
          <w:sz w:val="18"/>
          <w:szCs w:val="18"/>
          <w:color w:val="auto"/>
        </w:rPr>
        <w:t>As of December 31, 2020, we had 181 full-time employees. The following table provides an overview of the distribution of those employees:</w:t>
      </w:r>
    </w:p>
    <w:p>
      <w:pPr>
        <w:spacing w:after="0" w:line="178" w:lineRule="exact"/>
        <w:rPr>
          <w:sz w:val="20"/>
          <w:szCs w:val="20"/>
          <w:color w:val="auto"/>
        </w:rPr>
      </w:pPr>
    </w:p>
    <w:tbl>
      <w:tblPr>
        <w:tblLayout w:type="fixed"/>
        <w:tblInd w:w="70" w:type="dxa"/>
        <w:tblCellMar>
          <w:top w:w="0" w:type="dxa"/>
          <w:left w:w="0" w:type="dxa"/>
          <w:bottom w:w="0" w:type="dxa"/>
          <w:right w:w="0" w:type="dxa"/>
        </w:tblCellMar>
      </w:tblPr>
      <w:tr>
        <w:trPr>
          <w:trHeight w:val="244"/>
        </w:trPr>
        <w:tc>
          <w:tcPr>
            <w:tcW w:w="46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Department</w:t>
            </w:r>
          </w:p>
        </w:tc>
        <w:tc>
          <w:tcPr>
            <w:tcW w:w="4240" w:type="dxa"/>
            <w:vAlign w:val="bottom"/>
            <w:tcBorders>
              <w:top w:val="single" w:sz="8" w:color="auto"/>
              <w:right w:val="single" w:sz="8" w:color="auto"/>
            </w:tcBorders>
          </w:tcPr>
          <w:p>
            <w:pPr>
              <w:ind w:left="1700"/>
              <w:spacing w:after="0"/>
              <w:rPr>
                <w:sz w:val="20"/>
                <w:szCs w:val="20"/>
                <w:color w:val="auto"/>
              </w:rPr>
            </w:pPr>
            <w:r>
              <w:rPr>
                <w:rFonts w:ascii="Arial" w:cs="Arial" w:eastAsia="Arial" w:hAnsi="Arial"/>
                <w:sz w:val="18"/>
                <w:szCs w:val="18"/>
                <w:color w:val="auto"/>
              </w:rPr>
              <w:t>Headcount</w:t>
            </w:r>
          </w:p>
        </w:tc>
      </w:tr>
      <w:tr>
        <w:trPr>
          <w:trHeight w:val="134"/>
        </w:trPr>
        <w:tc>
          <w:tcPr>
            <w:tcW w:w="4680" w:type="dxa"/>
            <w:vAlign w:val="bottom"/>
            <w:tcBorders>
              <w:left w:val="single" w:sz="8" w:color="auto"/>
              <w:bottom w:val="single" w:sz="8" w:color="auto"/>
              <w:right w:val="single" w:sz="8" w:color="auto"/>
            </w:tcBorders>
          </w:tcPr>
          <w:p>
            <w:pPr>
              <w:spacing w:after="0"/>
              <w:rPr>
                <w:sz w:val="11"/>
                <w:szCs w:val="11"/>
                <w:color w:val="auto"/>
              </w:rPr>
            </w:pPr>
          </w:p>
        </w:tc>
        <w:tc>
          <w:tcPr>
            <w:tcW w:w="4240" w:type="dxa"/>
            <w:vAlign w:val="bottom"/>
            <w:tcBorders>
              <w:bottom w:val="single" w:sz="8" w:color="auto"/>
              <w:right w:val="single" w:sz="8" w:color="auto"/>
            </w:tcBorders>
          </w:tcPr>
          <w:p>
            <w:pPr>
              <w:spacing w:after="0"/>
              <w:rPr>
                <w:sz w:val="11"/>
                <w:szCs w:val="11"/>
                <w:color w:val="auto"/>
              </w:rPr>
            </w:pPr>
          </w:p>
        </w:tc>
      </w:tr>
      <w:tr>
        <w:trPr>
          <w:trHeight w:val="224"/>
        </w:trPr>
        <w:tc>
          <w:tcPr>
            <w:tcW w:w="46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Research &amp; Development</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73</w:t>
            </w:r>
          </w:p>
        </w:tc>
      </w:tr>
      <w:tr>
        <w:trPr>
          <w:trHeight w:val="121"/>
        </w:trPr>
        <w:tc>
          <w:tcPr>
            <w:tcW w:w="4680" w:type="dxa"/>
            <w:vAlign w:val="bottom"/>
            <w:tcBorders>
              <w:left w:val="single" w:sz="8" w:color="auto"/>
              <w:bottom w:val="single" w:sz="8" w:color="auto"/>
              <w:right w:val="single" w:sz="8" w:color="auto"/>
            </w:tcBorders>
          </w:tcPr>
          <w:p>
            <w:pPr>
              <w:spacing w:after="0"/>
              <w:rPr>
                <w:sz w:val="10"/>
                <w:szCs w:val="10"/>
                <w:color w:val="auto"/>
              </w:rPr>
            </w:pPr>
          </w:p>
        </w:tc>
        <w:tc>
          <w:tcPr>
            <w:tcW w:w="4240" w:type="dxa"/>
            <w:vAlign w:val="bottom"/>
            <w:tcBorders>
              <w:bottom w:val="single" w:sz="8" w:color="auto"/>
              <w:right w:val="single" w:sz="8" w:color="auto"/>
            </w:tcBorders>
          </w:tcPr>
          <w:p>
            <w:pPr>
              <w:spacing w:after="0"/>
              <w:rPr>
                <w:sz w:val="10"/>
                <w:szCs w:val="10"/>
                <w:color w:val="auto"/>
              </w:rPr>
            </w:pPr>
          </w:p>
        </w:tc>
      </w:tr>
      <w:tr>
        <w:trPr>
          <w:trHeight w:val="224"/>
        </w:trPr>
        <w:tc>
          <w:tcPr>
            <w:tcW w:w="46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Sales &amp; Marketing</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67</w:t>
            </w:r>
          </w:p>
        </w:tc>
      </w:tr>
      <w:tr>
        <w:trPr>
          <w:trHeight w:val="134"/>
        </w:trPr>
        <w:tc>
          <w:tcPr>
            <w:tcW w:w="4680" w:type="dxa"/>
            <w:vAlign w:val="bottom"/>
            <w:tcBorders>
              <w:left w:val="single" w:sz="8" w:color="auto"/>
              <w:bottom w:val="single" w:sz="8" w:color="auto"/>
              <w:right w:val="single" w:sz="8" w:color="auto"/>
            </w:tcBorders>
          </w:tcPr>
          <w:p>
            <w:pPr>
              <w:spacing w:after="0"/>
              <w:rPr>
                <w:sz w:val="11"/>
                <w:szCs w:val="11"/>
                <w:color w:val="auto"/>
              </w:rPr>
            </w:pPr>
          </w:p>
        </w:tc>
        <w:tc>
          <w:tcPr>
            <w:tcW w:w="4240" w:type="dxa"/>
            <w:vAlign w:val="bottom"/>
            <w:tcBorders>
              <w:bottom w:val="single" w:sz="8" w:color="auto"/>
              <w:right w:val="single" w:sz="8" w:color="auto"/>
            </w:tcBorders>
          </w:tcPr>
          <w:p>
            <w:pPr>
              <w:spacing w:after="0"/>
              <w:rPr>
                <w:sz w:val="11"/>
                <w:szCs w:val="11"/>
                <w:color w:val="auto"/>
              </w:rPr>
            </w:pPr>
          </w:p>
        </w:tc>
      </w:tr>
      <w:tr>
        <w:trPr>
          <w:trHeight w:val="224"/>
        </w:trPr>
        <w:tc>
          <w:tcPr>
            <w:tcW w:w="46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Manufacturing</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r>
      <w:tr>
        <w:trPr>
          <w:trHeight w:val="134"/>
        </w:trPr>
        <w:tc>
          <w:tcPr>
            <w:tcW w:w="4680" w:type="dxa"/>
            <w:vAlign w:val="bottom"/>
            <w:tcBorders>
              <w:left w:val="single" w:sz="8" w:color="auto"/>
              <w:bottom w:val="single" w:sz="8" w:color="auto"/>
              <w:right w:val="single" w:sz="8" w:color="auto"/>
            </w:tcBorders>
          </w:tcPr>
          <w:p>
            <w:pPr>
              <w:spacing w:after="0"/>
              <w:rPr>
                <w:sz w:val="11"/>
                <w:szCs w:val="11"/>
                <w:color w:val="auto"/>
              </w:rPr>
            </w:pPr>
          </w:p>
        </w:tc>
        <w:tc>
          <w:tcPr>
            <w:tcW w:w="4240" w:type="dxa"/>
            <w:vAlign w:val="bottom"/>
            <w:tcBorders>
              <w:bottom w:val="single" w:sz="8" w:color="auto"/>
              <w:right w:val="single" w:sz="8" w:color="auto"/>
            </w:tcBorders>
          </w:tcPr>
          <w:p>
            <w:pPr>
              <w:spacing w:after="0"/>
              <w:rPr>
                <w:sz w:val="11"/>
                <w:szCs w:val="11"/>
                <w:color w:val="auto"/>
              </w:rPr>
            </w:pPr>
          </w:p>
        </w:tc>
      </w:tr>
      <w:tr>
        <w:trPr>
          <w:trHeight w:val="224"/>
        </w:trPr>
        <w:tc>
          <w:tcPr>
            <w:tcW w:w="46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General &amp; Administrative</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28</w:t>
            </w:r>
          </w:p>
        </w:tc>
      </w:tr>
      <w:tr>
        <w:trPr>
          <w:trHeight w:val="121"/>
        </w:trPr>
        <w:tc>
          <w:tcPr>
            <w:tcW w:w="4680" w:type="dxa"/>
            <w:vAlign w:val="bottom"/>
            <w:tcBorders>
              <w:left w:val="single" w:sz="8" w:color="auto"/>
              <w:bottom w:val="single" w:sz="8" w:color="auto"/>
              <w:right w:val="single" w:sz="8" w:color="auto"/>
            </w:tcBorders>
          </w:tcPr>
          <w:p>
            <w:pPr>
              <w:spacing w:after="0"/>
              <w:rPr>
                <w:sz w:val="10"/>
                <w:szCs w:val="10"/>
                <w:color w:val="auto"/>
              </w:rPr>
            </w:pPr>
          </w:p>
        </w:tc>
        <w:tc>
          <w:tcPr>
            <w:tcW w:w="4240" w:type="dxa"/>
            <w:vAlign w:val="bottom"/>
            <w:tcBorders>
              <w:bottom w:val="single" w:sz="8" w:color="auto"/>
              <w:right w:val="single" w:sz="8" w:color="auto"/>
            </w:tcBorders>
          </w:tcPr>
          <w:p>
            <w:pPr>
              <w:spacing w:after="0"/>
              <w:rPr>
                <w:sz w:val="10"/>
                <w:szCs w:val="10"/>
                <w:color w:val="auto"/>
              </w:rPr>
            </w:pPr>
          </w:p>
        </w:tc>
      </w:tr>
      <w:tr>
        <w:trPr>
          <w:trHeight w:val="224"/>
        </w:trPr>
        <w:tc>
          <w:tcPr>
            <w:tcW w:w="4680" w:type="dxa"/>
            <w:vAlign w:val="bottom"/>
            <w:tcBorders>
              <w:left w:val="single" w:sz="8" w:color="auto"/>
              <w:right w:val="single" w:sz="8" w:color="auto"/>
            </w:tcBorders>
          </w:tcPr>
          <w:p>
            <w:pPr>
              <w:ind w:left="3340"/>
              <w:spacing w:after="0"/>
              <w:rPr>
                <w:sz w:val="20"/>
                <w:szCs w:val="20"/>
                <w:color w:val="auto"/>
              </w:rPr>
            </w:pPr>
            <w:r>
              <w:rPr>
                <w:rFonts w:ascii="Arial" w:cs="Arial" w:eastAsia="Arial" w:hAnsi="Arial"/>
                <w:sz w:val="18"/>
                <w:szCs w:val="18"/>
                <w:color w:val="auto"/>
                <w:w w:val="96"/>
              </w:rPr>
              <w:t>Total Employees</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181</w:t>
            </w:r>
          </w:p>
        </w:tc>
      </w:tr>
      <w:tr>
        <w:trPr>
          <w:trHeight w:val="134"/>
        </w:trPr>
        <w:tc>
          <w:tcPr>
            <w:tcW w:w="4680" w:type="dxa"/>
            <w:vAlign w:val="bottom"/>
            <w:tcBorders>
              <w:left w:val="single" w:sz="8" w:color="auto"/>
              <w:bottom w:val="single" w:sz="8" w:color="auto"/>
              <w:right w:val="single" w:sz="8" w:color="auto"/>
            </w:tcBorders>
          </w:tcPr>
          <w:p>
            <w:pPr>
              <w:spacing w:after="0"/>
              <w:rPr>
                <w:sz w:val="11"/>
                <w:szCs w:val="11"/>
                <w:color w:val="auto"/>
              </w:rPr>
            </w:pPr>
          </w:p>
        </w:tc>
        <w:tc>
          <w:tcPr>
            <w:tcW w:w="4240" w:type="dxa"/>
            <w:vAlign w:val="bottom"/>
            <w:tcBorders>
              <w:bottom w:val="single" w:sz="8" w:color="auto"/>
              <w:right w:val="single" w:sz="8" w:color="auto"/>
            </w:tcBorders>
          </w:tcPr>
          <w:p>
            <w:pPr>
              <w:spacing w:after="0"/>
              <w:rPr>
                <w:sz w:val="11"/>
                <w:szCs w:val="11"/>
                <w:color w:val="auto"/>
              </w:rPr>
            </w:pPr>
          </w:p>
        </w:tc>
      </w:tr>
    </w:tbl>
    <w:p>
      <w:pPr>
        <w:spacing w:after="0" w:line="202" w:lineRule="exact"/>
        <w:rPr>
          <w:sz w:val="20"/>
          <w:szCs w:val="20"/>
          <w:color w:val="auto"/>
        </w:rPr>
      </w:pPr>
    </w:p>
    <w:p>
      <w:pPr>
        <w:ind w:left="60" w:right="119" w:firstLine="441"/>
        <w:spacing w:after="0" w:line="263" w:lineRule="auto"/>
        <w:rPr>
          <w:sz w:val="20"/>
          <w:szCs w:val="20"/>
          <w:color w:val="auto"/>
        </w:rPr>
      </w:pPr>
      <w:r>
        <w:rPr>
          <w:rFonts w:ascii="Arial" w:cs="Arial" w:eastAsia="Arial" w:hAnsi="Arial"/>
          <w:sz w:val="18"/>
          <w:szCs w:val="18"/>
          <w:color w:val="auto"/>
        </w:rPr>
        <w:t>We are committed to inclusion and diversity and believe that these are important elements of our culture that enables us to attract and retain a high quality workforce. As of December 31, 2020, our workforce was composed of 48% female and 52% male, and 25% of the workforce was non-white.</w:t>
      </w:r>
    </w:p>
    <w:p>
      <w:pPr>
        <w:spacing w:after="0" w:line="184" w:lineRule="exact"/>
        <w:rPr>
          <w:sz w:val="20"/>
          <w:szCs w:val="20"/>
          <w:color w:val="auto"/>
        </w:rPr>
      </w:pPr>
    </w:p>
    <w:p>
      <w:pPr>
        <w:ind w:left="60" w:right="319" w:firstLine="441"/>
        <w:spacing w:after="0" w:line="257" w:lineRule="auto"/>
        <w:rPr>
          <w:sz w:val="20"/>
          <w:szCs w:val="20"/>
          <w:color w:val="auto"/>
        </w:rPr>
      </w:pPr>
      <w:r>
        <w:rPr>
          <w:rFonts w:ascii="Arial" w:cs="Arial" w:eastAsia="Arial" w:hAnsi="Arial"/>
          <w:sz w:val="18"/>
          <w:szCs w:val="18"/>
          <w:color w:val="auto"/>
        </w:rPr>
        <w:t>The development, attraction and retention of employees is a critical success factor for us for the execution of our business strategy and succession planning. To support the advancement of our employees, we offer training and development programs encouraging advancement from within and continue to fill our team with strong and experienced management talent. We leverage both formal and informal programs to identify, foster, and retain top talent at both the corporate and operating unit level.</w:t>
      </w:r>
    </w:p>
    <w:p>
      <w:pPr>
        <w:spacing w:after="0" w:line="188" w:lineRule="exact"/>
        <w:rPr>
          <w:sz w:val="20"/>
          <w:szCs w:val="20"/>
          <w:color w:val="auto"/>
        </w:rPr>
      </w:pPr>
    </w:p>
    <w:p>
      <w:pPr>
        <w:ind w:left="60" w:right="99" w:firstLine="441"/>
        <w:spacing w:after="0" w:line="286" w:lineRule="auto"/>
        <w:rPr>
          <w:sz w:val="20"/>
          <w:szCs w:val="20"/>
          <w:color w:val="auto"/>
        </w:rPr>
      </w:pPr>
      <w:r>
        <w:rPr>
          <w:rFonts w:ascii="Arial" w:cs="Arial" w:eastAsia="Arial" w:hAnsi="Arial"/>
          <w:sz w:val="17"/>
          <w:szCs w:val="17"/>
          <w:color w:val="auto"/>
        </w:rPr>
        <w:t>We provide employee wages and benefits that are competitive and consistent with the employee positions, skill levels, experience, knowledge and geographic location. None of our employees are represented by labor unions or covered by collective bargaining agreements. We consider our relationship with our employees to be good.</w:t>
      </w:r>
    </w:p>
    <w:p>
      <w:pPr>
        <w:spacing w:after="0" w:line="165" w:lineRule="exact"/>
        <w:rPr>
          <w:sz w:val="20"/>
          <w:szCs w:val="20"/>
          <w:color w:val="auto"/>
        </w:rPr>
      </w:pPr>
    </w:p>
    <w:p>
      <w:pPr>
        <w:ind w:left="60" w:right="99" w:firstLine="441"/>
        <w:spacing w:after="0" w:line="257" w:lineRule="auto"/>
        <w:rPr>
          <w:sz w:val="20"/>
          <w:szCs w:val="20"/>
          <w:color w:val="auto"/>
        </w:rPr>
      </w:pPr>
      <w:r>
        <w:rPr>
          <w:rFonts w:ascii="Arial" w:cs="Arial" w:eastAsia="Arial" w:hAnsi="Arial"/>
          <w:sz w:val="18"/>
          <w:szCs w:val="18"/>
          <w:color w:val="auto"/>
        </w:rPr>
        <w:t>We value the health, safety and wellbeing of our employees and their families. In response to the COVID-19 pandemic, we have implemented significant changes that we determined were in the best interest of our employees, as well as the communities in which we operate, and which comply with government regulations. This includes allowing a number of our corporate employees to work remotely, as appropriate, while implementing significant safety measures designed to protect the health of all those entering our office.</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60" w:right="59" w:firstLine="441"/>
        <w:spacing w:after="0" w:line="259" w:lineRule="auto"/>
        <w:rPr>
          <w:sz w:val="20"/>
          <w:szCs w:val="20"/>
          <w:color w:val="auto"/>
        </w:rPr>
      </w:pPr>
      <w:r>
        <w:rPr>
          <w:rFonts w:ascii="Arial" w:cs="Arial" w:eastAsia="Arial" w:hAnsi="Arial"/>
          <w:sz w:val="18"/>
          <w:szCs w:val="18"/>
          <w:color w:val="auto"/>
        </w:rPr>
        <w:t>We were incorporated under the laws of the State of Delaware in 2006. Our principal executive offices are located at 24 Crosby Drive, Bedford, MA 01730, and our telephone number is (781) 357-4000. Our manufacturing is located at 36 Crosby Drive, Suite 101, Bedford, MA 01730 and our research and development operations are located at 15 Crosby Drive, Bedford, MA 01730. Our website address is www.ocutx.com.</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99" w:firstLine="441"/>
        <w:spacing w:after="0" w:line="290" w:lineRule="auto"/>
        <w:rPr>
          <w:sz w:val="20"/>
          <w:szCs w:val="20"/>
          <w:color w:val="auto"/>
        </w:rPr>
      </w:pPr>
      <w:r>
        <w:rPr>
          <w:rFonts w:ascii="Arial" w:cs="Arial" w:eastAsia="Arial" w:hAnsi="Arial"/>
          <w:sz w:val="16"/>
          <w:szCs w:val="16"/>
          <w:color w:val="auto"/>
        </w:rPr>
        <w:t>We make available free of charge through our website our annual report on Form 10-K, quarterly reports on Form 10-Q, current reports on Form 8-K and amendments to those reports filed or furnished pursuant to Sections 13(a) and 15(d) of the Securities Exchange Act of 1934, as amended, or the Exchange Act. We make these reports available through our website as soon as reasonably practicable after we electronically file such reports with, or furnish such reports to, the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 through, our website is not a part of or incorporated by reference in this Annual Report on Form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60" w:right="219" w:firstLine="441"/>
        <w:spacing w:after="0" w:line="291" w:lineRule="auto"/>
        <w:rPr>
          <w:sz w:val="20"/>
          <w:szCs w:val="20"/>
          <w:color w:val="auto"/>
        </w:rPr>
      </w:pPr>
      <w:r>
        <w:rPr>
          <w:rFonts w:ascii="Arial" w:cs="Arial" w:eastAsia="Arial" w:hAnsi="Arial"/>
          <w:sz w:val="16"/>
          <w:szCs w:val="16"/>
          <w:i w:val="1"/>
          <w:iCs w:val="1"/>
          <w:color w:val="auto"/>
        </w:rPr>
        <w:t>The following risk factors and other information included in this Annual Report on Form 10-K, including under the heading “Summary of Risk Factors” in this Annual Report, should be carefully considered. The risks and uncertainties described below are not the only ones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and the summary of principal risks facing our business that follows. If any of the following risks occur, our business, financial condition, results of operations and future growth prospects could be materially and adversely affected.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Risks Related to the Coronavirus Pandemic</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b w:val="1"/>
          <w:bCs w:val="1"/>
          <w:i w:val="1"/>
          <w:iCs w:val="1"/>
          <w:color w:val="212529"/>
        </w:rPr>
        <w:t xml:space="preserve">The </w:t>
      </w:r>
      <w:r>
        <w:rPr>
          <w:rFonts w:ascii="Arial" w:cs="Arial" w:eastAsia="Arial" w:hAnsi="Arial"/>
          <w:sz w:val="16"/>
          <w:szCs w:val="16"/>
          <w:b w:val="1"/>
          <w:bCs w:val="1"/>
          <w:i w:val="1"/>
          <w:iCs w:val="1"/>
          <w:color w:val="000000"/>
        </w:rPr>
        <w:t>coronavirus (COVID-19)</w:t>
      </w:r>
      <w:r>
        <w:rPr>
          <w:rFonts w:ascii="Arial" w:cs="Arial" w:eastAsia="Arial" w:hAnsi="Arial"/>
          <w:sz w:val="16"/>
          <w:szCs w:val="16"/>
          <w:b w:val="1"/>
          <w:bCs w:val="1"/>
          <w:i w:val="1"/>
          <w:iCs w:val="1"/>
          <w:color w:val="212529"/>
        </w:rPr>
        <w:t xml:space="preserve"> pandemic has disrupted, and is expected to continue to adversely affect, </w:t>
      </w:r>
      <w:r>
        <w:rPr>
          <w:rFonts w:ascii="Arial" w:cs="Arial" w:eastAsia="Arial" w:hAnsi="Arial"/>
          <w:sz w:val="16"/>
          <w:szCs w:val="16"/>
          <w:b w:val="1"/>
          <w:bCs w:val="1"/>
          <w:i w:val="1"/>
          <w:iCs w:val="1"/>
          <w:color w:val="000000"/>
        </w:rPr>
        <w:t>our operations,</w:t>
      </w:r>
      <w:r>
        <w:rPr>
          <w:rFonts w:ascii="Arial" w:cs="Arial" w:eastAsia="Arial" w:hAnsi="Arial"/>
          <w:sz w:val="16"/>
          <w:szCs w:val="16"/>
          <w:b w:val="1"/>
          <w:bCs w:val="1"/>
          <w:i w:val="1"/>
          <w:iCs w:val="1"/>
          <w:color w:val="212529"/>
        </w:rPr>
        <w:t xml:space="preserve"> </w:t>
      </w:r>
      <w:r>
        <w:rPr>
          <w:rFonts w:ascii="Arial" w:cs="Arial" w:eastAsia="Arial" w:hAnsi="Arial"/>
          <w:sz w:val="16"/>
          <w:szCs w:val="16"/>
          <w:b w:val="1"/>
          <w:bCs w:val="1"/>
          <w:i w:val="1"/>
          <w:iCs w:val="1"/>
          <w:color w:val="000000"/>
        </w:rPr>
        <w:t>including the progress of our commercialization of DEXTENZA and our ability to generate revenue from sales of DEXTENZA or ReSure Sealant. In the future, it may have other adverse effects on our business and operations, including potentially delaying one or more of our clinical trials. In addition, this pandemic initially caused substantial disruption in the financial markets and has adversely impacted economies worldwide, both of which could result in adverse effects on our business, operations and ability to raise capital</w:t>
      </w:r>
      <w:r>
        <w:rPr>
          <w:rFonts w:ascii="Arial" w:cs="Arial" w:eastAsia="Arial" w:hAnsi="Arial"/>
          <w:sz w:val="16"/>
          <w:szCs w:val="16"/>
          <w:b w:val="1"/>
          <w:bCs w:val="1"/>
          <w:i w:val="1"/>
          <w:iCs w:val="1"/>
          <w:color w:val="212529"/>
        </w:rPr>
        <w:t>.</w:t>
      </w:r>
    </w:p>
    <w:p>
      <w:pPr>
        <w:spacing w:after="0" w:line="164"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COVID-19 coronavirus pandemic, which began in December 2019 and has spread worldwide, has caused many governments to implement measures to slow the spread of the outbreak through quarantines, strict travel restrictions, heightened border scrutiny, and other measures.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pandemic and its effects on our business and operations are uncertain.</w:t>
      </w:r>
    </w:p>
    <w:p>
      <w:pPr>
        <w:spacing w:after="0" w:line="166" w:lineRule="exact"/>
        <w:rPr>
          <w:sz w:val="20"/>
          <w:szCs w:val="20"/>
          <w:color w:val="auto"/>
        </w:rPr>
      </w:pPr>
    </w:p>
    <w:p>
      <w:pPr>
        <w:jc w:val="both"/>
        <w:ind w:left="60" w:right="399" w:firstLine="441"/>
        <w:spacing w:after="0" w:line="263" w:lineRule="auto"/>
        <w:rPr>
          <w:sz w:val="20"/>
          <w:szCs w:val="20"/>
          <w:color w:val="auto"/>
        </w:rPr>
      </w:pPr>
      <w:r>
        <w:rPr>
          <w:rFonts w:ascii="Arial" w:cs="Arial" w:eastAsia="Arial" w:hAnsi="Arial"/>
          <w:sz w:val="18"/>
          <w:szCs w:val="18"/>
          <w:color w:val="auto"/>
        </w:rPr>
        <w:t>We believe the COVID-19 pandemic has adversely affected, and we expect it to continue to adversely affect, the progress of our commercialization of DEXTENZA and our ability to generate revenue from sales of DEXTENZA, as a result of many factors, including:</w:t>
      </w:r>
    </w:p>
    <w:p>
      <w:pPr>
        <w:spacing w:after="0" w:line="157" w:lineRule="exact"/>
        <w:rPr>
          <w:sz w:val="20"/>
          <w:szCs w:val="20"/>
          <w:color w:val="auto"/>
        </w:rPr>
      </w:pPr>
    </w:p>
    <w:p>
      <w:pPr>
        <w:ind w:left="840" w:right="79" w:hanging="331"/>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in patients attending routine ophthalmology appointments or undergoing elective surgical procedures, including cataract surgery;</w:t>
      </w:r>
    </w:p>
    <w:p>
      <w:pPr>
        <w:spacing w:after="0" w:line="170" w:lineRule="exact"/>
        <w:rPr>
          <w:rFonts w:ascii="Arial" w:cs="Arial" w:eastAsia="Arial" w:hAnsi="Arial"/>
          <w:sz w:val="18"/>
          <w:szCs w:val="18"/>
          <w:color w:val="auto"/>
        </w:rPr>
      </w:pPr>
    </w:p>
    <w:p>
      <w:pPr>
        <w:ind w:left="840" w:right="119" w:hanging="331"/>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healthcare resources away from elective surgical procedures, including cataract surgery, to focus on pandemic concerns;</w:t>
      </w:r>
    </w:p>
    <w:p>
      <w:pPr>
        <w:spacing w:after="0" w:line="170" w:lineRule="exact"/>
        <w:rPr>
          <w:rFonts w:ascii="Arial" w:cs="Arial" w:eastAsia="Arial" w:hAnsi="Arial"/>
          <w:sz w:val="18"/>
          <w:szCs w:val="18"/>
          <w:color w:val="auto"/>
        </w:rPr>
      </w:pPr>
    </w:p>
    <w:p>
      <w:pPr>
        <w:ind w:left="840" w:right="159" w:hanging="331"/>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interruptions in global shipping affecting the transport of raw materials used in the manufacture of our product, drug product, patient samples and related literature; and</w:t>
      </w:r>
    </w:p>
    <w:p>
      <w:pPr>
        <w:spacing w:after="0" w:line="170" w:lineRule="exact"/>
        <w:rPr>
          <w:rFonts w:ascii="Arial" w:cs="Arial" w:eastAsia="Arial" w:hAnsi="Arial"/>
          <w:sz w:val="18"/>
          <w:szCs w:val="18"/>
          <w:color w:val="auto"/>
        </w:rPr>
      </w:pPr>
    </w:p>
    <w:p>
      <w:pPr>
        <w:ind w:left="840" w:right="239" w:hanging="331"/>
        <w:spacing w:after="0" w:line="291" w:lineRule="auto"/>
        <w:tabs>
          <w:tab w:leader="none" w:pos="8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prolonged impact on travel that might continue to interrupt key commercialization activities, such as travel by our key account managers, which could adversely impact the progress of our commercialization of</w:t>
      </w:r>
    </w:p>
    <w:p>
      <w:pPr>
        <w:ind w:left="840"/>
        <w:spacing w:after="0"/>
        <w:rPr>
          <w:rFonts w:ascii="Arial" w:cs="Arial" w:eastAsia="Arial" w:hAnsi="Arial"/>
          <w:sz w:val="16"/>
          <w:szCs w:val="16"/>
          <w:color w:val="auto"/>
        </w:rPr>
      </w:pPr>
      <w:r>
        <w:rPr>
          <w:rFonts w:ascii="Arial" w:cs="Arial" w:eastAsia="Arial" w:hAnsi="Arial"/>
          <w:sz w:val="18"/>
          <w:szCs w:val="18"/>
          <w:color w:val="auto"/>
        </w:rPr>
        <w:t>DEXTENZA.</w:t>
      </w:r>
    </w:p>
    <w:p>
      <w:pPr>
        <w:spacing w:after="0" w:line="211" w:lineRule="exact"/>
        <w:rPr>
          <w:sz w:val="20"/>
          <w:szCs w:val="20"/>
          <w:color w:val="auto"/>
        </w:rPr>
      </w:pPr>
    </w:p>
    <w:p>
      <w:pPr>
        <w:ind w:left="60" w:right="519" w:firstLine="441"/>
        <w:spacing w:after="0" w:line="263" w:lineRule="auto"/>
        <w:rPr>
          <w:sz w:val="20"/>
          <w:szCs w:val="20"/>
          <w:color w:val="auto"/>
        </w:rPr>
      </w:pPr>
      <w:r>
        <w:rPr>
          <w:rFonts w:ascii="Arial" w:cs="Arial" w:eastAsia="Arial" w:hAnsi="Arial"/>
          <w:sz w:val="18"/>
          <w:szCs w:val="18"/>
          <w:color w:val="auto"/>
        </w:rPr>
        <w:t>The COVID-19 pandemic also has the potential to delay or otherwise adversely affect our clinical development activities, including our ability to recruit or retain patients in our ongoing clinical trials, as a result of many factors, including:</w:t>
      </w:r>
    </w:p>
    <w:p>
      <w:pPr>
        <w:spacing w:after="0" w:line="143" w:lineRule="exact"/>
        <w:rPr>
          <w:sz w:val="20"/>
          <w:szCs w:val="20"/>
          <w:color w:val="auto"/>
        </w:rPr>
      </w:pPr>
    </w:p>
    <w:p>
      <w:pPr>
        <w:ind w:left="840" w:right="319" w:hanging="331"/>
        <w:spacing w:after="0" w:line="259"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our clinical trials to focus on pandemic concerns, including the availability of necessary materials, the attention of physicians serving as our clinical trial investigators, access to hospitals serving as our clinical trial sites, and availability of hospital staff supporting the conduct of our clinical trials;</w:t>
      </w:r>
    </w:p>
    <w:p>
      <w:pPr>
        <w:spacing w:after="0" w:line="186" w:lineRule="exact"/>
        <w:rPr>
          <w:rFonts w:ascii="Arial" w:cs="Arial" w:eastAsia="Arial" w:hAnsi="Arial"/>
          <w:sz w:val="18"/>
          <w:szCs w:val="18"/>
          <w:color w:val="auto"/>
        </w:rPr>
      </w:pPr>
    </w:p>
    <w:p>
      <w:pPr>
        <w:ind w:left="840" w:right="619" w:hanging="331"/>
        <w:spacing w:after="0" w:line="308" w:lineRule="auto"/>
        <w:tabs>
          <w:tab w:leader="none" w:pos="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inability or reluctance of patients enrolled in our clinical trials to visit clinical trial sites if patients are affected by the virus or are fearful of traveling to our clinical trial sites because of the outbreak;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right="99" w:hanging="331"/>
        <w:spacing w:after="0" w:line="279" w:lineRule="auto"/>
        <w:tabs>
          <w:tab w:leader="none" w:pos="8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potential interruptions in global shipping affecting the transport of clinical trial materials, such as investigational drug product, patient samples, and raw materials used in the manufacture of our product candidates; medical and laboratory supplies used in our clinical trials or preclinical studies; or animals that are used for preclinical testing, and other supplies used in our clinical trials and preclinical studies;</w:t>
      </w:r>
    </w:p>
    <w:p>
      <w:pPr>
        <w:spacing w:after="0" w:line="171" w:lineRule="exact"/>
        <w:rPr>
          <w:rFonts w:ascii="Arial" w:cs="Arial" w:eastAsia="Arial" w:hAnsi="Arial"/>
          <w:sz w:val="17"/>
          <w:szCs w:val="17"/>
          <w:color w:val="auto"/>
        </w:rPr>
      </w:pPr>
    </w:p>
    <w:p>
      <w:pPr>
        <w:ind w:left="840" w:right="99" w:hanging="331"/>
        <w:spacing w:after="0" w:line="296" w:lineRule="auto"/>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impact of personnel shortages, further limitations on travel, or other operational challenges that could interrupt key clinical trial activities, such as clinical trial site initiations and monitoring and reporting activities, travel by our employees, contract research organizations, or CROs, or patients to clinical trial sites, or the ability of employees at our manufacturing facility to report to work, any of which could delay or adversely impact the conduct or progress of our clinical trials or limit the amount of clinical data we will be able to report; and</w:t>
      </w:r>
    </w:p>
    <w:p>
      <w:pPr>
        <w:spacing w:after="0" w:line="161" w:lineRule="exact"/>
        <w:rPr>
          <w:rFonts w:ascii="Arial" w:cs="Arial" w:eastAsia="Arial" w:hAnsi="Arial"/>
          <w:sz w:val="16"/>
          <w:szCs w:val="16"/>
          <w:color w:val="auto"/>
        </w:rPr>
      </w:pPr>
    </w:p>
    <w:p>
      <w:pPr>
        <w:jc w:val="both"/>
        <w:ind w:left="840" w:right="479" w:hanging="331"/>
        <w:spacing w:after="0" w:line="342" w:lineRule="auto"/>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future interruption of, or delays in receiving, supplies of clinical trial material from our manufacturing facility due to stay-at-home orders, production slowdowns or stoppages, or disruptions in delivery systems.</w:t>
      </w:r>
    </w:p>
    <w:p>
      <w:pPr>
        <w:spacing w:after="0" w:line="124"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Any negative impact that the COVID-19 pandemic has on recruiting or retaining patients in our clinical trials, the ability to provide materials for our product candidates, the operations of our clinical trials, or the regulatory review process could cause additional delays with respect to product development activities, which could materially and adversely affect our ability to obtain regulatory approval for and to commercialize our product candidates, increase our operating expenses, affect our ability to raise additional capital, and have a material adverse effect on our financial results. For example, we saw a slight slowdown in our enrollment in the fourth cohort of our Phase 1 clinical trial evaluating OTX-TIC due to COVID-19. As a result, we provided topline data for this clinical trial in the first quarter of 2021 instead of the fourth quarter of 2020 as originally planned. If similar delays affect our enrollment of our planned Phase 2 clinical trial for OTX-TIC or any of our ongoing or planned clinical trials, the completion of such trials could be delayed.</w:t>
      </w:r>
    </w:p>
    <w:p>
      <w:pPr>
        <w:spacing w:after="0" w:line="139"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Additionally, in May 2020, we disclosed the receipt of interim data regarding our ongoing Phase 1 clinical trial of OTX-TKI for the potential treatment of wet AMD and other retinal diseases. The Phase 1 clinical trial is a multi-center, open-label, dose-escalation study in Australia designed to evaluate the safety, biological activity, durability and tolerability of OTX-TKI. At that time, two cohorts had been enrolled, a lower dose cohort of 200 µg and a higher dose cohort of 400 µg. We disclosed that, as of May 13, 2020, the first two patients in the second (400 µg) cohort had shown a clinically meaningful reduction in intraretinal and/or subretinal fluid out to six months with a single implant. In July 2020, we reported that the data collection and other administrative activities of the clinical trial site in Australia where these two patients were being treated had been adversely impacted by the effects of the COVID-19 pandemic. Specifically, the clinical trial site reported to us that one of these two patients showing a clinically meaningful reduction in intraretinal and/or subretinal fluid had been treated with anti-VEGF medication at a site visit at month 4.5 (in mid-March 2020) and at month 6 (in early May 2020). The administration of this anti-VEGF medication at the month 4.5 visit and at the month 6 visit was not entered into the clinical trial database until after a subsequent visit at month 7.5 in mid-June 2020. As a result, this information was not available to or known by us in connection with our prior disclosures.</w:t>
      </w:r>
    </w:p>
    <w:p>
      <w:pPr>
        <w:spacing w:after="0" w:line="201"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The COVID-19 pandemic continues to evolve and its ultimate scope, duration and effects are unknown. The extent of the impact on our business, preclinical studies and clinical trials, commercialization activities and revenue will depend on future developments, which are highly uncertain and cannot be predicted with confidence. These include, but are not limited to, the duration of the outbreak; actions to contain the pandemic or treat its impact, such as travel restrictions, vaccination campaigns,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235" w:lineRule="exact"/>
        <w:rPr>
          <w:sz w:val="20"/>
          <w:szCs w:val="20"/>
          <w:color w:val="auto"/>
        </w:rPr>
      </w:pPr>
    </w:p>
    <w:p>
      <w:pPr>
        <w:jc w:val="both"/>
        <w:ind w:left="60" w:right="59" w:firstLine="405"/>
        <w:spacing w:after="0" w:line="273" w:lineRule="auto"/>
        <w:rPr>
          <w:sz w:val="20"/>
          <w:szCs w:val="20"/>
          <w:color w:val="auto"/>
        </w:rPr>
      </w:pPr>
      <w:r>
        <w:rPr>
          <w:rFonts w:ascii="Arial" w:cs="Arial" w:eastAsia="Arial" w:hAnsi="Arial"/>
          <w:sz w:val="17"/>
          <w:szCs w:val="17"/>
          <w:color w:val="auto"/>
        </w:rPr>
        <w:t>The pandemic initially caused significant disruptions in the financial markets, and may cause additional disruptions in the future, any of which could adversely impact our ability to raise additional funds through public offerings or private placements or impact the volatility of our stock price and trading in our stock. Moreover, the pandemic has significantly impacted economies worldwide, which could result in adverse effects on our business and operations. We cannot be certain what the overall impact of the COVID-19 pandemic will be on our business and it has the potential to continue to adversely affect our business, financial condition, results of operations,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70" w:lineRule="exact"/>
        <w:rPr>
          <w:sz w:val="20"/>
          <w:szCs w:val="20"/>
          <w:color w:val="auto"/>
        </w:rPr>
      </w:pPr>
    </w:p>
    <w:p>
      <w:pPr>
        <w:ind w:left="60" w:right="219" w:firstLine="441"/>
        <w:spacing w:after="0" w:line="256" w:lineRule="auto"/>
        <w:rPr>
          <w:sz w:val="20"/>
          <w:szCs w:val="20"/>
          <w:color w:val="auto"/>
        </w:rPr>
      </w:pPr>
      <w:r>
        <w:rPr>
          <w:rFonts w:ascii="Arial" w:cs="Arial" w:eastAsia="Arial" w:hAnsi="Arial"/>
          <w:sz w:val="17"/>
          <w:szCs w:val="17"/>
          <w:color w:val="auto"/>
        </w:rPr>
        <w:t>Since inception, we have incurred significant operating losses. Our net losses were $60.0 million for the year ended December 31, 2018, $86.4 million for the year ended December 31, 2019 and $155.6 million for the year ended December 31, 2020. As of December 31, 2020, we had an accumulated deficit of $539.3 million. We have financed our operations primarily through private placements of our preferred stock, public offerings of our common stock, private placements of our convertible notes and borrowings under credit facilities. We have devoted substantially all of our financial resources and efforts to research and development, including preclinical studies and clinical trials, and the commercialization of ReSure Sealant and DEXTENZA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for the treatment of ocular inflammation and pain following ophthalmic surgery. Although we expect to continue to generate revenue from sales of ReSure Sealant and DEXTENZA, we expect to continue to incur significant expenses and operating losses over the next several years. Our net losses may fluctuate significantly from quarter to quarter and year to year.</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anticipate we will incur substantial expenses if and as we:</w:t>
      </w:r>
    </w:p>
    <w:p>
      <w:pPr>
        <w:spacing w:after="0" w:line="225" w:lineRule="exact"/>
        <w:rPr>
          <w:sz w:val="20"/>
          <w:szCs w:val="20"/>
          <w:color w:val="auto"/>
        </w:rPr>
      </w:pPr>
    </w:p>
    <w:p>
      <w:pPr>
        <w:ind w:left="840" w:hanging="331"/>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to commercialize DEXTENZA in the United States;</w:t>
      </w:r>
    </w:p>
    <w:p>
      <w:pPr>
        <w:spacing w:after="0" w:line="225" w:lineRule="exact"/>
        <w:rPr>
          <w:rFonts w:ascii="Arial" w:cs="Arial" w:eastAsia="Arial" w:hAnsi="Arial"/>
          <w:sz w:val="18"/>
          <w:szCs w:val="18"/>
          <w:color w:val="auto"/>
        </w:rPr>
      </w:pPr>
    </w:p>
    <w:p>
      <w:pPr>
        <w:ind w:left="840" w:right="299" w:hanging="331"/>
        <w:spacing w:after="0" w:line="277"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to develop and expand our sales, marketing and distribution capabilities for DEXTENZA and any of our products or product candidates;</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to pursue the clinical development of DEXTENZA for additional indications;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continue ongoing clinical trials of our product candidates OTX-TKI, OTX-TIC, OTX-CSI, and OTX-DED;</w:t>
      </w:r>
    </w:p>
    <w:p>
      <w:pPr>
        <w:spacing w:after="0" w:line="236" w:lineRule="exact"/>
        <w:rPr>
          <w:rFonts w:ascii="Arial" w:cs="Arial" w:eastAsia="Arial" w:hAnsi="Arial"/>
          <w:sz w:val="17"/>
          <w:szCs w:val="17"/>
          <w:color w:val="auto"/>
        </w:rPr>
      </w:pPr>
    </w:p>
    <w:p>
      <w:pPr>
        <w:ind w:left="840" w:hanging="331"/>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initiate planned Phase 2 clinical trials for our product candidates OTX-TKI and OTX-TIC;</w:t>
      </w:r>
    </w:p>
    <w:p>
      <w:pPr>
        <w:spacing w:after="0" w:line="225" w:lineRule="exact"/>
        <w:rPr>
          <w:rFonts w:ascii="Arial" w:cs="Arial" w:eastAsia="Arial" w:hAnsi="Arial"/>
          <w:sz w:val="18"/>
          <w:szCs w:val="18"/>
          <w:color w:val="auto"/>
        </w:rPr>
      </w:pPr>
    </w:p>
    <w:p>
      <w:pPr>
        <w:ind w:left="840" w:right="199" w:hanging="331"/>
        <w:spacing w:after="0" w:line="311" w:lineRule="auto"/>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conduct joint research and development under our strategic collaboration with Regeneron, for the development and potential commercialization of products containing our extended-delivery hydrogel formulation in combination with Regeneron’s large molecule, VEGF-targeting compounds to treat retinal diseases;</w:t>
      </w:r>
    </w:p>
    <w:p>
      <w:pPr>
        <w:spacing w:after="0" w:line="148" w:lineRule="exact"/>
        <w:rPr>
          <w:rFonts w:ascii="Arial" w:cs="Arial" w:eastAsia="Arial" w:hAnsi="Arial"/>
          <w:sz w:val="16"/>
          <w:szCs w:val="16"/>
          <w:color w:val="auto"/>
        </w:rPr>
      </w:pPr>
    </w:p>
    <w:p>
      <w:pPr>
        <w:ind w:left="840" w:right="159" w:hanging="331"/>
        <w:spacing w:after="0" w:line="263"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conduct research and development activities on, and seek regulatory approvals for, DEXTENZA and OTX-TIC in certain Asian countries pursuant to our license agreement and collaboration with AffaMed Therapeutics Limited, or AffaMed;</w:t>
      </w:r>
    </w:p>
    <w:p>
      <w:pPr>
        <w:spacing w:after="0" w:line="183" w:lineRule="exact"/>
        <w:rPr>
          <w:rFonts w:ascii="Arial" w:cs="Arial" w:eastAsia="Arial" w:hAnsi="Arial"/>
          <w:sz w:val="18"/>
          <w:szCs w:val="18"/>
          <w:color w:val="auto"/>
        </w:rPr>
      </w:pPr>
    </w:p>
    <w:p>
      <w:pPr>
        <w:ind w:left="840" w:hanging="331"/>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840" w:right="79" w:hanging="331"/>
        <w:spacing w:after="0" w:line="263"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seek to identify and develop additional product candidates, including through additional preclinical development activities associated with our front-of-the-eye and back-of-the-eye programs and potential opportunities outside the field of ophthalmology;</w:t>
      </w:r>
    </w:p>
    <w:p>
      <w:pPr>
        <w:spacing w:after="0" w:line="183" w:lineRule="exact"/>
        <w:rPr>
          <w:rFonts w:ascii="Arial" w:cs="Arial" w:eastAsia="Arial" w:hAnsi="Arial"/>
          <w:sz w:val="18"/>
          <w:szCs w:val="18"/>
          <w:color w:val="auto"/>
        </w:rPr>
      </w:pPr>
    </w:p>
    <w:p>
      <w:pPr>
        <w:ind w:left="840" w:hanging="331"/>
        <w:spacing w:after="0"/>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seek marketing approvals for any of our product candidates that successfully complete clinical development;</w:t>
      </w:r>
    </w:p>
    <w:p>
      <w:pPr>
        <w:spacing w:after="0" w:line="248" w:lineRule="exact"/>
        <w:rPr>
          <w:rFonts w:ascii="Arial" w:cs="Arial" w:eastAsia="Arial" w:hAnsi="Arial"/>
          <w:sz w:val="16"/>
          <w:szCs w:val="16"/>
          <w:color w:val="auto"/>
        </w:rPr>
      </w:pPr>
    </w:p>
    <w:p>
      <w:pPr>
        <w:ind w:left="840" w:right="319" w:hanging="331"/>
        <w:spacing w:after="0" w:line="259"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scale up our manufacturing processes and capabilities to support sales of commercial products, our ongoing clinical trials of our product candidates and commercialization of any of our product candidates for which we obtain marketing approval, and expand our facilities to accommodate this scale up and any corresponding growth in personnel;</w:t>
      </w:r>
    </w:p>
    <w:p>
      <w:pPr>
        <w:spacing w:after="0" w:line="186" w:lineRule="exact"/>
        <w:rPr>
          <w:rFonts w:ascii="Arial" w:cs="Arial" w:eastAsia="Arial" w:hAnsi="Arial"/>
          <w:sz w:val="18"/>
          <w:szCs w:val="18"/>
          <w:color w:val="auto"/>
        </w:rPr>
      </w:pPr>
    </w:p>
    <w:p>
      <w:pPr>
        <w:ind w:left="840" w:right="119" w:hanging="331"/>
        <w:spacing w:after="0" w:line="277"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renovate our existing facilities including research and development laboratories, manufacturing space and office space;</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right="299" w:hanging="331"/>
        <w:spacing w:after="0" w:line="342" w:lineRule="auto"/>
        <w:tabs>
          <w:tab w:leader="none" w:pos="8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personnel, including personnel to support our clinical development, manufacturing and commercialization efforts and our operations as a public company;</w:t>
      </w:r>
    </w:p>
    <w:p>
      <w:pPr>
        <w:spacing w:after="0" w:line="123" w:lineRule="exact"/>
        <w:rPr>
          <w:rFonts w:ascii="Arial" w:cs="Arial" w:eastAsia="Arial" w:hAnsi="Arial"/>
          <w:sz w:val="16"/>
          <w:szCs w:val="16"/>
          <w:color w:val="auto"/>
        </w:rPr>
      </w:pPr>
    </w:p>
    <w:p>
      <w:pPr>
        <w:ind w:left="840" w:hanging="331"/>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defend ourselves against legal proceedings;</w:t>
      </w:r>
    </w:p>
    <w:p>
      <w:pPr>
        <w:spacing w:after="0" w:line="225" w:lineRule="exact"/>
        <w:rPr>
          <w:rFonts w:ascii="Arial" w:cs="Arial" w:eastAsia="Arial" w:hAnsi="Arial"/>
          <w:sz w:val="18"/>
          <w:szCs w:val="18"/>
          <w:color w:val="auto"/>
        </w:rPr>
      </w:pPr>
    </w:p>
    <w:p>
      <w:pPr>
        <w:ind w:left="840" w:right="879" w:hanging="331"/>
        <w:spacing w:after="0" w:line="277" w:lineRule="auto"/>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our product liability and clinical trial insurance coverage as we expand our clinical trials and commercialization efforts; and</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25" w:lineRule="exact"/>
        <w:rPr>
          <w:sz w:val="20"/>
          <w:szCs w:val="20"/>
          <w:color w:val="auto"/>
        </w:rPr>
      </w:pPr>
    </w:p>
    <w:p>
      <w:pPr>
        <w:jc w:val="both"/>
        <w:ind w:left="60" w:right="79" w:firstLine="441"/>
        <w:spacing w:after="0" w:line="263"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Our expenses will increase if:</w:t>
      </w:r>
    </w:p>
    <w:p>
      <w:pPr>
        <w:spacing w:after="0" w:line="184" w:lineRule="exact"/>
        <w:rPr>
          <w:sz w:val="20"/>
          <w:szCs w:val="20"/>
          <w:color w:val="auto"/>
        </w:rPr>
      </w:pPr>
    </w:p>
    <w:p>
      <w:pPr>
        <w:ind w:left="840" w:right="79" w:hanging="331"/>
        <w:spacing w:after="0" w:line="277" w:lineRule="auto"/>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required by the FDA or the European Medicines Agency, or EMA, to perform trials or studies in addition to those currently expected;</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are any delays in receipt of regulatory clearance to begin our planned clinical programs; or</w:t>
      </w:r>
    </w:p>
    <w:p>
      <w:pPr>
        <w:spacing w:after="0" w:line="225" w:lineRule="exact"/>
        <w:rPr>
          <w:rFonts w:ascii="Arial" w:cs="Arial" w:eastAsia="Arial" w:hAnsi="Arial"/>
          <w:sz w:val="18"/>
          <w:szCs w:val="18"/>
          <w:color w:val="auto"/>
        </w:rPr>
      </w:pPr>
    </w:p>
    <w:p>
      <w:pPr>
        <w:ind w:left="840" w:right="539" w:hanging="331"/>
        <w:spacing w:after="0" w:line="277" w:lineRule="auto"/>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are any delays in enrollment of patients in or completing our clinical trials or the development of our product candidates.</w:t>
      </w:r>
    </w:p>
    <w:p>
      <w:pPr>
        <w:spacing w:after="0" w:line="170" w:lineRule="exact"/>
        <w:rPr>
          <w:sz w:val="20"/>
          <w:szCs w:val="20"/>
          <w:color w:val="auto"/>
        </w:rPr>
      </w:pPr>
    </w:p>
    <w:p>
      <w:pPr>
        <w:ind w:left="60" w:right="199" w:firstLine="441"/>
        <w:spacing w:after="0" w:line="296" w:lineRule="auto"/>
        <w:rPr>
          <w:sz w:val="20"/>
          <w:szCs w:val="20"/>
          <w:color w:val="auto"/>
        </w:rPr>
      </w:pPr>
      <w:r>
        <w:rPr>
          <w:rFonts w:ascii="Arial" w:cs="Arial" w:eastAsia="Arial" w:hAnsi="Arial"/>
          <w:sz w:val="16"/>
          <w:szCs w:val="16"/>
          <w:color w:val="auto"/>
        </w:rPr>
        <w:t>Prior to our commercial launch of DEXTENZA in July 2019, ReSure Sealant was our only source of revenue from product sales. However, sales of ReSure Sealant have not generated, and we do not anticipate that they will ever generate, significant revenue. For us to become and remain profitable, we will need to continue to successfully commercialize DEXTENZA and to successfully develop and commercialize other products with significant market potential. This will require us or our current or future collaborators to be successful in a range of challenging activities, including:</w:t>
      </w:r>
    </w:p>
    <w:p>
      <w:pPr>
        <w:spacing w:after="0" w:line="161" w:lineRule="exact"/>
        <w:rPr>
          <w:sz w:val="20"/>
          <w:szCs w:val="20"/>
          <w:color w:val="auto"/>
        </w:rPr>
      </w:pPr>
    </w:p>
    <w:p>
      <w:pPr>
        <w:ind w:left="840" w:right="79" w:hanging="331"/>
        <w:spacing w:after="0" w:line="277"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successfully continuing to commercialize DEXTENZA in the United States, including by further developing our sales force, marketing and distribution capabilities;</w:t>
      </w:r>
    </w:p>
    <w:p>
      <w:pPr>
        <w:spacing w:after="0" w:line="170" w:lineRule="exact"/>
        <w:rPr>
          <w:rFonts w:ascii="Arial" w:cs="Arial" w:eastAsia="Arial" w:hAnsi="Arial"/>
          <w:sz w:val="18"/>
          <w:szCs w:val="18"/>
          <w:color w:val="auto"/>
        </w:rPr>
      </w:pPr>
    </w:p>
    <w:p>
      <w:pPr>
        <w:ind w:left="840" w:right="239" w:hanging="331"/>
        <w:spacing w:after="0" w:line="277"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successfully completing clinical development of our product candidates, including DEXTENZA for additional indications as well as OTX-TKI, OTX-TIC, OTX-CSI, and OTX-DED;</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obtaining marketing approval for these product candidates;</w:t>
      </w:r>
    </w:p>
    <w:p>
      <w:pPr>
        <w:spacing w:after="0" w:line="225" w:lineRule="exact"/>
        <w:rPr>
          <w:rFonts w:ascii="Arial" w:cs="Arial" w:eastAsia="Arial" w:hAnsi="Arial"/>
          <w:sz w:val="18"/>
          <w:szCs w:val="18"/>
          <w:color w:val="auto"/>
        </w:rPr>
      </w:pPr>
    </w:p>
    <w:p>
      <w:pPr>
        <w:ind w:left="840" w:right="139" w:hanging="331"/>
        <w:spacing w:after="0" w:line="277"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manufacturing at commercial scale, marketing, selling and distributing DEXTENZA and any other products for which we obtain marketing approval;</w:t>
      </w:r>
    </w:p>
    <w:p>
      <w:pPr>
        <w:spacing w:after="0" w:line="170" w:lineRule="exact"/>
        <w:rPr>
          <w:rFonts w:ascii="Arial" w:cs="Arial" w:eastAsia="Arial" w:hAnsi="Arial"/>
          <w:sz w:val="18"/>
          <w:szCs w:val="18"/>
          <w:color w:val="auto"/>
        </w:rPr>
      </w:pPr>
    </w:p>
    <w:p>
      <w:pPr>
        <w:ind w:left="840" w:right="499" w:hanging="331"/>
        <w:spacing w:after="0" w:line="277"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achieving an adequate level of market acceptance of and obtaining and maintaining coverage and adequate reimbursement from third-party payors for our products; and</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protecting our rights to our intellectual property portfolio.</w:t>
      </w:r>
    </w:p>
    <w:p>
      <w:pPr>
        <w:spacing w:after="0" w:line="225" w:lineRule="exact"/>
        <w:rPr>
          <w:sz w:val="20"/>
          <w:szCs w:val="20"/>
          <w:color w:val="auto"/>
        </w:rPr>
      </w:pPr>
    </w:p>
    <w:p>
      <w:pPr>
        <w:jc w:val="both"/>
        <w:ind w:left="60" w:right="159" w:firstLine="441"/>
        <w:spacing w:after="0" w:line="287" w:lineRule="auto"/>
        <w:rPr>
          <w:sz w:val="20"/>
          <w:szCs w:val="20"/>
          <w:color w:val="auto"/>
        </w:rPr>
      </w:pPr>
      <w:r>
        <w:rPr>
          <w:rFonts w:ascii="Arial" w:cs="Arial" w:eastAsia="Arial" w:hAnsi="Arial"/>
          <w:sz w:val="16"/>
          <w:szCs w:val="16"/>
          <w:color w:val="auto"/>
        </w:rPr>
        <w:t>Our ability to generate revenue from operations will depend, in part, on the timing and success of commercial sales of DEXTENZA. However, the successful commercialization of DEXTENZA in the United States is subject to many risks. The COVID-19 pandemic has reduced the number of elective ophthalmic surgeries performed since mid-March 2020.</w:t>
      </w:r>
    </w:p>
    <w:p>
      <w:pPr>
        <w:spacing w:after="0" w:line="2"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Although we saw signs of a partial recovery in the number of cataract surgeries during the second half of 2020, we believe the number of procedures currently being performed continues to be below the level performed prior to the COVID-19 pandemic. DEXTENZA is our first significant product launch, and we may not be able to continue to commercialize DEXTENZA successfully. There are numerous examples of unsuccessful product launches and failures to meet expectations of market potential, including by pharmaceutical companies with more experience and resources than we have. We do not anticipate revenue from sales of DEXTENZA for the treatment of ocular inflammation and pain following ophthalmic surgery will be sufficient for us to become profitable for several years, if ever. Furthermore,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if we are unable to achieve our revenue estimates for DEXTENZA, our ability to raise additional capital may be negatively impacted.</w:t>
      </w:r>
    </w:p>
    <w:p>
      <w:pPr>
        <w:spacing w:after="0" w:line="170" w:lineRule="exact"/>
        <w:rPr>
          <w:sz w:val="20"/>
          <w:szCs w:val="20"/>
          <w:color w:val="auto"/>
        </w:rPr>
      </w:pPr>
    </w:p>
    <w:p>
      <w:pPr>
        <w:ind w:left="60" w:right="179" w:firstLine="441"/>
        <w:spacing w:after="0" w:line="255" w:lineRule="auto"/>
        <w:rPr>
          <w:sz w:val="20"/>
          <w:szCs w:val="20"/>
          <w:color w:val="auto"/>
        </w:rPr>
      </w:pPr>
      <w:r>
        <w:rPr>
          <w:rFonts w:ascii="Arial" w:cs="Arial" w:eastAsia="Arial" w:hAnsi="Arial"/>
          <w:sz w:val="18"/>
          <w:szCs w:val="18"/>
          <w:color w:val="auto"/>
        </w:rPr>
        <w:t>We may not succeed in our continued commercialization efforts and may never generate revenue that is sufficient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our stockholders to lose all or part of their investment.</w:t>
      </w:r>
    </w:p>
    <w:p>
      <w:pPr>
        <w:spacing w:after="0" w:line="192"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70" w:lineRule="exact"/>
        <w:rPr>
          <w:sz w:val="20"/>
          <w:szCs w:val="20"/>
          <w:color w:val="auto"/>
        </w:rPr>
      </w:pPr>
    </w:p>
    <w:p>
      <w:pPr>
        <w:ind w:left="60" w:right="59" w:firstLine="441"/>
        <w:spacing w:after="0" w:line="287" w:lineRule="auto"/>
        <w:rPr>
          <w:sz w:val="20"/>
          <w:szCs w:val="20"/>
          <w:color w:val="auto"/>
        </w:rPr>
      </w:pPr>
      <w:r>
        <w:rPr>
          <w:rFonts w:ascii="Arial" w:cs="Arial" w:eastAsia="Arial" w:hAnsi="Arial"/>
          <w:sz w:val="16"/>
          <w:szCs w:val="16"/>
          <w:color w:val="auto"/>
        </w:rPr>
        <w:t>We expect to devote substantial financial resources to our ongoing and planned activities, particularly as we continue to commercialize DEXTENZA for the treatment of ocular inflammation and pain following ophthalmic surgery and any additional indications for which we receive marketing approval, including expanding our product manufacturing, sales, marketing and distribution capabilities, and advance OTX-TKI, OTX-TIC, OTX-CSI, and OTX-DED through Phase 2 clinical development. We also expect to devote substantial financial resources as we conduct late stage clinical trials for our local programmed-release drug delivery product candidates, including DEXTENZA for additional indications including ocular itching associated with allergic conjunctivitis, and seek marketing approval for any such product candidate for which we obtain favorable pivotal clinical results. In addition, we plan to devote significant financial resources to conducting research and development and potentially seeking regulatory approval for our other product candidates. Accordingly, we will need to obtain substantial additional funding to fully support our continuing operations and ongoing commercialization efforts for DEXTENZA. If we are unable to raise capital when needed or on attractive terms, we could be forced to delay, reduce or eliminate our research and development programs or any future commercialization efforts.</w:t>
      </w:r>
    </w:p>
    <w:p>
      <w:pPr>
        <w:spacing w:after="0" w:line="168" w:lineRule="exact"/>
        <w:rPr>
          <w:sz w:val="20"/>
          <w:szCs w:val="20"/>
          <w:color w:val="auto"/>
        </w:rPr>
      </w:pPr>
    </w:p>
    <w:p>
      <w:pPr>
        <w:ind w:left="60" w:right="59" w:firstLine="441"/>
        <w:spacing w:after="0" w:line="287" w:lineRule="auto"/>
        <w:rPr>
          <w:sz w:val="20"/>
          <w:szCs w:val="20"/>
          <w:color w:val="auto"/>
        </w:rPr>
      </w:pPr>
      <w:r>
        <w:rPr>
          <w:rFonts w:ascii="Arial" w:cs="Arial" w:eastAsia="Arial" w:hAnsi="Arial"/>
          <w:sz w:val="16"/>
          <w:szCs w:val="16"/>
          <w:color w:val="auto"/>
        </w:rPr>
        <w:t>As of December 31, 2020, we had cash and cash equivalents of $228.1 million, outstanding debt of $25.0 million, net of unamortized discount, and $37.5 million aggregate principal amount of senior subordinated convertible notes plus accrued interest of $4.2 million. We believe that our existing cash and cash equivalents of $228.1 million as of December 31, 2020, will enable us to fund our planned operating expenses, debt service obligations and capital expenditure requirements through 2023. This estimate is based on our current operating plan which includes estimates of anticipated cash inflows from DEXTENZA and ReSure Sealant product sales and cash outflows from operating expenses. These estimates are subject to various assumptions including those related to the severity and duration of the COVID-19 pandemic, the revenues and expenses associated with the commercialization of DEXTENZA, variable expense reductions, the pace of our research and clinical development programs, and other aspects of our business. We have based our estimate on assumptions that may prove to be wrong, and we could use our capital resources sooner than we currently expect and would therefore need to raise additional capital to support our ongoing operations or adjust our plans accordingly. Our future capital requirements will depend on many factors, including:</w:t>
      </w:r>
    </w:p>
    <w:p>
      <w:pPr>
        <w:spacing w:after="0" w:line="168" w:lineRule="exact"/>
        <w:rPr>
          <w:sz w:val="20"/>
          <w:szCs w:val="20"/>
          <w:color w:val="auto"/>
        </w:rPr>
      </w:pPr>
    </w:p>
    <w:p>
      <w:pPr>
        <w:ind w:left="840" w:hanging="331"/>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continue to commercialize and sell DEXTENZA in the United States;</w:t>
      </w:r>
    </w:p>
    <w:p>
      <w:pPr>
        <w:spacing w:after="0" w:line="225" w:lineRule="exact"/>
        <w:rPr>
          <w:rFonts w:ascii="Arial" w:cs="Arial" w:eastAsia="Arial" w:hAnsi="Arial"/>
          <w:sz w:val="18"/>
          <w:szCs w:val="18"/>
          <w:color w:val="auto"/>
        </w:rPr>
      </w:pPr>
    </w:p>
    <w:p>
      <w:pPr>
        <w:ind w:left="840" w:right="379" w:hanging="331"/>
        <w:spacing w:after="0" w:line="277"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by the FDA, the EMA or other regulatory authorities;</w:t>
      </w:r>
    </w:p>
    <w:p>
      <w:pPr>
        <w:spacing w:after="0" w:line="170" w:lineRule="exact"/>
        <w:rPr>
          <w:rFonts w:ascii="Arial" w:cs="Arial" w:eastAsia="Arial" w:hAnsi="Arial"/>
          <w:sz w:val="18"/>
          <w:szCs w:val="18"/>
          <w:color w:val="auto"/>
        </w:rPr>
      </w:pPr>
    </w:p>
    <w:p>
      <w:pPr>
        <w:ind w:left="840" w:right="679" w:hanging="331"/>
        <w:spacing w:after="0" w:line="277"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product sales from DEXTENZA and any additional products for which we obtain marketing approval in the future;</w:t>
      </w:r>
    </w:p>
    <w:p>
      <w:pPr>
        <w:spacing w:after="0" w:line="170" w:lineRule="exact"/>
        <w:rPr>
          <w:rFonts w:ascii="Arial" w:cs="Arial" w:eastAsia="Arial" w:hAnsi="Arial"/>
          <w:sz w:val="18"/>
          <w:szCs w:val="18"/>
          <w:color w:val="auto"/>
        </w:rPr>
      </w:pPr>
    </w:p>
    <w:p>
      <w:pPr>
        <w:ind w:left="840" w:right="379" w:hanging="331"/>
        <w:spacing w:after="0" w:line="342" w:lineRule="auto"/>
        <w:tabs>
          <w:tab w:leader="none" w:pos="8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costs of manufacturing, sales, marketing, distribution and other commercialization efforts with respect to DEXTENZA and any additional products for which we obtain marketing approval in the future;</w:t>
      </w:r>
    </w:p>
    <w:p>
      <w:pPr>
        <w:spacing w:after="0" w:line="123" w:lineRule="exact"/>
        <w:rPr>
          <w:rFonts w:ascii="Arial" w:cs="Arial" w:eastAsia="Arial" w:hAnsi="Arial"/>
          <w:sz w:val="16"/>
          <w:szCs w:val="16"/>
          <w:color w:val="auto"/>
        </w:rPr>
      </w:pPr>
    </w:p>
    <w:p>
      <w:pPr>
        <w:ind w:left="840" w:hanging="331"/>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of expanding our facilities to accommodate our manufacturing needs and headcount;</w:t>
      </w:r>
    </w:p>
    <w:p>
      <w:pPr>
        <w:spacing w:after="0" w:line="225" w:lineRule="exact"/>
        <w:rPr>
          <w:rFonts w:ascii="Arial" w:cs="Arial" w:eastAsia="Arial" w:hAnsi="Arial"/>
          <w:sz w:val="18"/>
          <w:szCs w:val="18"/>
          <w:color w:val="auto"/>
        </w:rPr>
      </w:pPr>
    </w:p>
    <w:p>
      <w:pPr>
        <w:ind w:left="840" w:right="119" w:hanging="331"/>
        <w:spacing w:after="0" w:line="286" w:lineRule="auto"/>
        <w:tabs>
          <w:tab w:leader="none" w:pos="8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progress, costs and outcome of our planned and ongoing clinical trials of our extended-delivery drug delivery product candidates, in particular DEXTENZA for additional indications, OTX-TIC for the treatment of glaucoma or ocular hypertension, OTX-TKI for the treatment of wet AMD, OTX-CSI for the chronic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right="199"/>
        <w:spacing w:after="0" w:line="277" w:lineRule="auto"/>
        <w:rPr>
          <w:sz w:val="20"/>
          <w:szCs w:val="20"/>
          <w:color w:val="auto"/>
        </w:rPr>
      </w:pPr>
      <w:r>
        <w:rPr>
          <w:rFonts w:ascii="Arial" w:cs="Arial" w:eastAsia="Arial" w:hAnsi="Arial"/>
          <w:sz w:val="18"/>
          <w:szCs w:val="18"/>
          <w:color w:val="auto"/>
        </w:rPr>
        <w:t>treatment of dry eye disease, and OTX-DED for the short-term treatment of the signs and symptoms of dry eye disease;</w:t>
      </w:r>
    </w:p>
    <w:p>
      <w:pPr>
        <w:spacing w:after="0" w:line="170" w:lineRule="exact"/>
        <w:rPr>
          <w:sz w:val="20"/>
          <w:szCs w:val="20"/>
          <w:color w:val="auto"/>
        </w:rPr>
      </w:pPr>
    </w:p>
    <w:p>
      <w:pPr>
        <w:ind w:left="840" w:right="639" w:hanging="331"/>
        <w:spacing w:after="0" w:line="277" w:lineRule="auto"/>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progress, costs and outcome of preclinical development and clinical trials of our other product candidates;</w:t>
      </w:r>
    </w:p>
    <w:p>
      <w:pPr>
        <w:spacing w:after="0" w:line="170" w:lineRule="exact"/>
        <w:rPr>
          <w:rFonts w:ascii="Arial" w:cs="Arial" w:eastAsia="Arial" w:hAnsi="Arial"/>
          <w:sz w:val="18"/>
          <w:szCs w:val="18"/>
          <w:color w:val="auto"/>
        </w:rPr>
      </w:pPr>
    </w:p>
    <w:p>
      <w:pPr>
        <w:ind w:left="840" w:right="479" w:hanging="331"/>
        <w:spacing w:after="0" w:line="277" w:lineRule="auto"/>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of our debt service obligations and our ability, if desired, to refinance any of our existing debt on terms that are more favorable to us;</w:t>
      </w:r>
    </w:p>
    <w:p>
      <w:pPr>
        <w:spacing w:after="0" w:line="170" w:lineRule="exact"/>
        <w:rPr>
          <w:rFonts w:ascii="Arial" w:cs="Arial" w:eastAsia="Arial" w:hAnsi="Arial"/>
          <w:sz w:val="18"/>
          <w:szCs w:val="18"/>
          <w:color w:val="auto"/>
        </w:rPr>
      </w:pPr>
    </w:p>
    <w:p>
      <w:pPr>
        <w:ind w:left="840" w:right="299" w:hanging="331"/>
        <w:spacing w:after="0" w:line="259" w:lineRule="auto"/>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we are entitled to receive, if any, from Regeneron as potential option exercise fees, development, regulatory and sales milestone payments and royalty payments and the amounts we are obligated to pay to Regeneron as reimbursement if it chooses to exercise its option to advance a product candidate under our collaboration agreement;</w:t>
      </w:r>
    </w:p>
    <w:p>
      <w:pPr>
        <w:spacing w:after="0" w:line="186" w:lineRule="exact"/>
        <w:rPr>
          <w:rFonts w:ascii="Arial" w:cs="Arial" w:eastAsia="Arial" w:hAnsi="Arial"/>
          <w:sz w:val="18"/>
          <w:szCs w:val="18"/>
          <w:color w:val="auto"/>
        </w:rPr>
      </w:pPr>
    </w:p>
    <w:p>
      <w:pPr>
        <w:ind w:left="840" w:right="139" w:hanging="331"/>
        <w:spacing w:after="0" w:line="263" w:lineRule="auto"/>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we are entitled to receive, if any, from AffaMed as reimbursements for clinical trial expenditures, development, regulatory, and sales milestone payments, and royalty payments under our license agreement with AffaMed;</w:t>
      </w:r>
    </w:p>
    <w:p>
      <w:pPr>
        <w:spacing w:after="0" w:line="183" w:lineRule="exact"/>
        <w:rPr>
          <w:rFonts w:ascii="Arial" w:cs="Arial" w:eastAsia="Arial" w:hAnsi="Arial"/>
          <w:sz w:val="18"/>
          <w:szCs w:val="18"/>
          <w:color w:val="auto"/>
        </w:rPr>
      </w:pPr>
    </w:p>
    <w:p>
      <w:pPr>
        <w:ind w:left="840" w:right="79" w:hanging="331"/>
        <w:spacing w:after="0" w:line="277" w:lineRule="auto"/>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we choose to establish additional collaboration, distribution or other marketing arrangements for our products and product candidates;</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and outcomes of legal actions and proceedings;</w:t>
      </w:r>
    </w:p>
    <w:p>
      <w:pPr>
        <w:spacing w:after="0" w:line="225" w:lineRule="exact"/>
        <w:rPr>
          <w:rFonts w:ascii="Arial" w:cs="Arial" w:eastAsia="Arial" w:hAnsi="Arial"/>
          <w:sz w:val="18"/>
          <w:szCs w:val="18"/>
          <w:color w:val="auto"/>
        </w:rPr>
      </w:pPr>
    </w:p>
    <w:p>
      <w:pPr>
        <w:ind w:left="840" w:right="479" w:hanging="331"/>
        <w:spacing w:after="0" w:line="308" w:lineRule="auto"/>
        <w:tabs>
          <w:tab w:leader="none" w:pos="8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146" w:lineRule="exact"/>
        <w:rPr>
          <w:rFonts w:ascii="Arial" w:cs="Arial" w:eastAsia="Arial" w:hAnsi="Arial"/>
          <w:sz w:val="17"/>
          <w:szCs w:val="17"/>
          <w:color w:val="auto"/>
        </w:rPr>
      </w:pPr>
    </w:p>
    <w:p>
      <w:pPr>
        <w:ind w:left="840" w:hanging="331"/>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we acquire or invest in other businesses, products and technologies.</w:t>
      </w:r>
    </w:p>
    <w:p>
      <w:pPr>
        <w:spacing w:after="0" w:line="225" w:lineRule="exact"/>
        <w:rPr>
          <w:sz w:val="20"/>
          <w:szCs w:val="20"/>
          <w:color w:val="auto"/>
        </w:rPr>
      </w:pPr>
    </w:p>
    <w:p>
      <w:pPr>
        <w:ind w:left="60" w:right="239" w:firstLine="441"/>
        <w:spacing w:after="0" w:line="254" w:lineRule="auto"/>
        <w:rPr>
          <w:sz w:val="20"/>
          <w:szCs w:val="20"/>
          <w:color w:val="auto"/>
        </w:rPr>
      </w:pPr>
      <w:r>
        <w:rPr>
          <w:rFonts w:ascii="Arial" w:cs="Arial" w:eastAsia="Arial" w:hAnsi="Arial"/>
          <w:sz w:val="18"/>
          <w:szCs w:val="18"/>
          <w:color w:val="auto"/>
        </w:rPr>
        <w:t>Conducting preclinical testing and clinical trials, seeking market approvals and commercializing products are time-consuming, expensive and uncertain processes that take years to complete. We may never generate the necessary data or results required to obtain regulatory approval of products with the market potential sufficient to enable us to achieve profitability. We may not generate significant revenue from sales of any product for several years, if at all. Accordingly, we will need to obtain substantial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92"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products or product candidates.</w:t>
      </w:r>
    </w:p>
    <w:p>
      <w:pPr>
        <w:spacing w:after="0" w:line="170" w:lineRule="exact"/>
        <w:rPr>
          <w:sz w:val="20"/>
          <w:szCs w:val="20"/>
          <w:color w:val="auto"/>
        </w:rPr>
      </w:pPr>
    </w:p>
    <w:p>
      <w:pPr>
        <w:ind w:left="60" w:right="79" w:firstLine="441"/>
        <w:spacing w:after="0" w:line="285" w:lineRule="auto"/>
        <w:rPr>
          <w:sz w:val="20"/>
          <w:szCs w:val="20"/>
          <w:color w:val="auto"/>
        </w:rPr>
      </w:pPr>
      <w:r>
        <w:rPr>
          <w:rFonts w:ascii="Arial" w:cs="Arial" w:eastAsia="Arial" w:hAnsi="Arial"/>
          <w:sz w:val="16"/>
          <w:szCs w:val="16"/>
          <w:color w:val="auto"/>
        </w:rPr>
        <w:t>Until such time, if ever, as we can generate product revenues sufficient to achieve profitability, we expect to finance our cash needs through equity offerings, debt financings, collaborations, strategic alliances, licensing arrangements, royalty agreements, and marketing and distribution arrangements. We do not have any committed external source of funds, although our collaboration agreement with Regeneron provides for Regeneron’s reimbursement of certain preclinical expenses incurred by us under our collaboration agreement and for the potential receipt of option exercise, development, regulatory and sales milestone and royalty payments and our license agreement with AffaMed provides for AffaMed’s reimbursement of certain clinical expenses incurred by us in connection with our collaboration and for our potential receipt of development and sales milestone payments and royalty payments. To the extent that we raise additional capital through the sale of equity, preferred equity or convertible debt securities, our stockholders’ ownership interests will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making capital expenditures or declaring dividends. Our pledge of our assets as collateral to secure our obligations under our credit facility pursuant to which we have a total borrowing capacity of $25.0 million, which has been fully drawn down, or the Credit Facility may limit our ability to obtain additional debt financing. If we are unable to raise additional funds through equity or debt financings when needed, we may be required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301" w:lineRule="auto"/>
        <w:rPr>
          <w:sz w:val="20"/>
          <w:szCs w:val="20"/>
          <w:color w:val="auto"/>
        </w:rPr>
      </w:pPr>
      <w:r>
        <w:rPr>
          <w:rFonts w:ascii="Arial" w:cs="Arial" w:eastAsia="Arial" w:hAnsi="Arial"/>
          <w:sz w:val="16"/>
          <w:szCs w:val="16"/>
          <w:color w:val="auto"/>
        </w:rPr>
        <w:t>to delay, limit, reduce or terminate our product development or future commercialization efforts or grant rights to develop and market products or product candidates that we would otherwise prefer to develop and market ourselves. The COVID-19 pandemic initially caused significant disruptions in the financial markets, and may cause disruptions in the future, any of which could adversely impact our ability to raise additional funds through equity or debt financings.</w:t>
      </w:r>
    </w:p>
    <w:p>
      <w:pPr>
        <w:spacing w:after="0" w:line="157" w:lineRule="exact"/>
        <w:rPr>
          <w:sz w:val="20"/>
          <w:szCs w:val="20"/>
          <w:color w:val="auto"/>
        </w:rPr>
      </w:pPr>
    </w:p>
    <w:p>
      <w:pPr>
        <w:jc w:val="both"/>
        <w:ind w:left="60" w:right="199" w:firstLine="441"/>
        <w:spacing w:after="0" w:line="311" w:lineRule="auto"/>
        <w:rPr>
          <w:sz w:val="20"/>
          <w:szCs w:val="20"/>
          <w:color w:val="auto"/>
        </w:rPr>
      </w:pPr>
      <w:r>
        <w:rPr>
          <w:rFonts w:ascii="Arial" w:cs="Arial" w:eastAsia="Arial" w:hAnsi="Arial"/>
          <w:sz w:val="16"/>
          <w:szCs w:val="16"/>
          <w:color w:val="auto"/>
        </w:rPr>
        <w:t>If we raise additional funds through collaborations, strategic alliances, licensing arrangements, royalty agreements, or marketing and distribution arrangements, we may have to relinquish valuable rights to our technologies, future revenue streams, research programs, products or product candidates or grant licenses on terms that may not be favorable to us.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substantial indebtedness may limit cash flow available to invest in the ongoing needs of our business.</w:t>
      </w:r>
    </w:p>
    <w:p>
      <w:pPr>
        <w:spacing w:after="0" w:line="237"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We have a significant amount of indebtedness. Under our Credit Facility, as amended to date, we have $25.0 million, net of unamortized discount, of outstanding principal indebtedness. Under the accompanying credit and security agreement, as amended and/or restated to date, the Credit Agreement, we were permitted to make interest-only payments until January 1, 2021. Our obligations under the Credit Agreement are secured by all of our assets, including our intellectual property. The Credit Agreement also includes customary affirmative and negative covenants, including limitations on dispositions, mergers or acquisitions; incurring indebtedness, liens or encumbrances; paying dividends; making certain investments; and engaging in certain other business transactions. In March 2019, we issued $37.5 million aggregate principal amount of issued and outstanding senior unsubordinated convertible notes, or the Convertible Notes. The Convertible Notes mature on March 1, 2026 and interest on the Convertible Notes is payable at maturity or if earlier converted, repurchased or redeemed pursuant to their terms. We could in the future incur additional indebtedness beyond such amounts, including by potentially amending our Credit Agreement.</w:t>
      </w:r>
    </w:p>
    <w:p>
      <w:pPr>
        <w:spacing w:after="0" w:line="182" w:lineRule="exact"/>
        <w:rPr>
          <w:sz w:val="20"/>
          <w:szCs w:val="20"/>
          <w:color w:val="auto"/>
        </w:rPr>
      </w:pPr>
    </w:p>
    <w:p>
      <w:pPr>
        <w:ind w:left="60" w:right="739" w:firstLine="441"/>
        <w:spacing w:after="0" w:line="277" w:lineRule="auto"/>
        <w:rPr>
          <w:sz w:val="20"/>
          <w:szCs w:val="20"/>
          <w:color w:val="auto"/>
        </w:rPr>
      </w:pPr>
      <w:r>
        <w:rPr>
          <w:rFonts w:ascii="Arial" w:cs="Arial" w:eastAsia="Arial" w:hAnsi="Arial"/>
          <w:sz w:val="18"/>
          <w:szCs w:val="18"/>
          <w:color w:val="auto"/>
        </w:rPr>
        <w:t>Our substantial debt combined with our other financial obligations and contractual commitments could have significant adverse consequences, including:</w:t>
      </w:r>
    </w:p>
    <w:p>
      <w:pPr>
        <w:spacing w:after="0" w:line="170" w:lineRule="exact"/>
        <w:rPr>
          <w:sz w:val="20"/>
          <w:szCs w:val="20"/>
          <w:color w:val="auto"/>
        </w:rPr>
      </w:pPr>
    </w:p>
    <w:p>
      <w:pPr>
        <w:ind w:left="840" w:right="299" w:hanging="331"/>
        <w:spacing w:after="0" w:line="279" w:lineRule="auto"/>
        <w:tabs>
          <w:tab w:leader="none" w:pos="8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cash and cash equivalents and marketable securities to the payment of interest on, and principal of, our debt, which would reduce the amounts available to fund working capital, commercialization expenditures associated with DEXTENZA, capital expenditures, product development efforts and other general corporate purposes;</w:t>
      </w:r>
    </w:p>
    <w:p>
      <w:pPr>
        <w:spacing w:after="0" w:line="171" w:lineRule="exact"/>
        <w:rPr>
          <w:rFonts w:ascii="Arial" w:cs="Arial" w:eastAsia="Arial" w:hAnsi="Arial"/>
          <w:sz w:val="17"/>
          <w:szCs w:val="17"/>
          <w:color w:val="auto"/>
        </w:rPr>
      </w:pPr>
    </w:p>
    <w:p>
      <w:pPr>
        <w:ind w:left="840" w:right="79" w:hanging="331"/>
        <w:spacing w:after="0" w:line="263" w:lineRule="auto"/>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obligating us to negative covenants restricting our activities, including limitations on dispositions, mergers or acquisitions, encumbering our intellectual property, incurring additional indebtedness or liens, paying dividends, making investments and engaging in certain other business transactions;</w:t>
      </w:r>
    </w:p>
    <w:p>
      <w:pPr>
        <w:spacing w:after="0" w:line="183" w:lineRule="exact"/>
        <w:rPr>
          <w:rFonts w:ascii="Arial" w:cs="Arial" w:eastAsia="Arial" w:hAnsi="Arial"/>
          <w:sz w:val="18"/>
          <w:szCs w:val="18"/>
          <w:color w:val="auto"/>
        </w:rPr>
      </w:pPr>
    </w:p>
    <w:p>
      <w:pPr>
        <w:ind w:left="840" w:hanging="331"/>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 and</w:t>
      </w:r>
    </w:p>
    <w:p>
      <w:pPr>
        <w:spacing w:after="0" w:line="225" w:lineRule="exact"/>
        <w:rPr>
          <w:rFonts w:ascii="Arial" w:cs="Arial" w:eastAsia="Arial" w:hAnsi="Arial"/>
          <w:sz w:val="18"/>
          <w:szCs w:val="18"/>
          <w:color w:val="auto"/>
        </w:rPr>
      </w:pPr>
    </w:p>
    <w:p>
      <w:pPr>
        <w:ind w:left="840" w:right="79" w:hanging="331"/>
        <w:spacing w:after="0" w:line="277" w:lineRule="auto"/>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better debt servicing options.</w:t>
      </w:r>
    </w:p>
    <w:p>
      <w:pPr>
        <w:spacing w:after="0" w:line="170"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We intend to satisfy our current and future debt service obligations with our existing cash and cash equivalents, anticipated product revenue from DEXTENZA and funds from external sources. However, we may not have sufficient funds or may be unable to arrange for additional financing to pay the amounts due under our existing debt. Funds from external sources may not be available on acceptable terms, if at all. In addition, a failure to comply with the conditions of our Credit Agreement or the Convertible Notes could result in an event of default under those instruments. In the event of an acceleration of amounts due under our Credit Agreement or the Convertible Notes as a result of an event of default, including upon the occurrence of an event that would reasonably be expected to have a material adverse effect on our business, operations, properties, assets or condition or a failure to pay any amount due, we may not have sufficient funds or may be unable to arrange for additional financing to repay our indebtedness or to make any accelerated payments, and the lenders could seek to enforce security interests in the collateral securing such indebtedness. In addition, the covenants under our existing Credit Agreement and the pledge of our assets, including our intellectual property, as collateral limit our ability to obtain additional debt financing.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The elimination of LIBOR could adversely affect our business, results of operations or financial condition.</w:t>
      </w:r>
    </w:p>
    <w:p>
      <w:pPr>
        <w:spacing w:after="0" w:line="237"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In July 2017, the head of the United Kingdom Financial Conduct Authority, or FCA, announced plans to phase out the use of LIBOR by the end of 2021. In November 2020, the International Exchange Benchmark Administration, the administrator of LIBOR, announced its decision to consult on ceasing the publication of rates for certain short-term LIBOR tenors effective December 31, 2021, and for the remaining tenors effective June 30, 2023. Financial regulatory agencies including the U.S. Federal Reserve and the FCA expressed support for announcement. Although the impact is uncertain at this time, the elimination of LIBOR could have an adverse impact on our business, results of operations, or financial condition. We may incur significant expenses to amend our LIBOR-indexed loans and other applicable financial or contractual obligations, including our Credit Facility, to a new reference rate, which may differ significantly from LIBOR. Accordingly, the use of an alternative rate could result in increased costs, including increased interest expense on our credit facilities, and increased borrowing and hedging costs in the future. At this time, no consensus exists as to what rate or rates may become acceptable alternatives to LIBOR and we are unable to predict the effect of any such alternatives on our business, results of operations or financial condition.</w:t>
      </w:r>
    </w:p>
    <w:p>
      <w:pPr>
        <w:spacing w:after="0" w:line="17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Our limited operating history may make it difficult for our stockholders to evaluate the success of our business to date and to assess our future viability.</w:t>
      </w:r>
    </w:p>
    <w:p>
      <w:pPr>
        <w:spacing w:after="0" w:line="170" w:lineRule="exact"/>
        <w:rPr>
          <w:sz w:val="20"/>
          <w:szCs w:val="20"/>
          <w:color w:val="auto"/>
        </w:rPr>
      </w:pPr>
    </w:p>
    <w:p>
      <w:pPr>
        <w:ind w:left="60" w:right="79" w:firstLine="441"/>
        <w:spacing w:after="0" w:line="254" w:lineRule="auto"/>
        <w:rPr>
          <w:sz w:val="20"/>
          <w:szCs w:val="20"/>
          <w:color w:val="auto"/>
        </w:rPr>
      </w:pPr>
      <w:r>
        <w:rPr>
          <w:rFonts w:ascii="Arial" w:cs="Arial" w:eastAsia="Arial" w:hAnsi="Arial"/>
          <w:sz w:val="18"/>
          <w:szCs w:val="18"/>
          <w:color w:val="auto"/>
        </w:rPr>
        <w:t>We are an early-stage company. Our operations to date have been limited to organizing and staffing our company, acquiring rights to intellectual property, business planning, raising capital, developing our technology, identifying potential product candidates, undertaking preclinical studies and clinical trials, manufacturing initial quantities of our products and product candidates, and commercializing ReSure Sealant and DEXTENZA for the treatment of ocular inflammation and pain following ophthalmic surgery. We have a limited history of commercializing products. To date, we have not generated significant revenue from the sale of either ReSure Sealant or DEXTENZA or revenue that is sufficient to achieve profitability. Consequently, any predictions about our future success or viability may not be as accurate as they could be if we had a longer operating history.</w:t>
      </w:r>
    </w:p>
    <w:p>
      <w:pPr>
        <w:spacing w:after="0" w:line="192" w:lineRule="exact"/>
        <w:rPr>
          <w:sz w:val="20"/>
          <w:szCs w:val="20"/>
          <w:color w:val="auto"/>
        </w:rPr>
      </w:pPr>
    </w:p>
    <w:p>
      <w:pPr>
        <w:ind w:left="60" w:right="199" w:firstLine="441"/>
        <w:spacing w:after="0" w:line="259"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We are in early stages of the process of transitioning from a company with a research and development focus to a company capable of supporting commercial activities. We may not be successful in such a transition.</w:t>
      </w:r>
    </w:p>
    <w:p>
      <w:pPr>
        <w:spacing w:after="0" w:line="187" w:lineRule="exact"/>
        <w:rPr>
          <w:sz w:val="20"/>
          <w:szCs w:val="20"/>
          <w:color w:val="auto"/>
        </w:rPr>
      </w:pPr>
    </w:p>
    <w:p>
      <w:pPr>
        <w:jc w:val="both"/>
        <w:ind w:left="60" w:right="179" w:firstLine="441"/>
        <w:spacing w:after="0" w:line="311" w:lineRule="auto"/>
        <w:rPr>
          <w:sz w:val="20"/>
          <w:szCs w:val="20"/>
          <w:color w:val="auto"/>
        </w:rPr>
      </w:pPr>
      <w:r>
        <w:rPr>
          <w:rFonts w:ascii="Arial" w:cs="Arial" w:eastAsia="Arial" w:hAnsi="Arial"/>
          <w:sz w:val="16"/>
          <w:szCs w:val="16"/>
          <w:color w:val="auto"/>
        </w:rPr>
        <w:t>We expect our financial condition and operating results to continue to fluctuate significantly from quarter-to-quarter and year-to-year due to a variety of factors, many of which are beyond our control. Accordingly, our stockholders should not rely upon the results of any quarterly or annual periods as indications of future operating performance.</w:t>
      </w:r>
    </w:p>
    <w:p>
      <w:pPr>
        <w:spacing w:after="0" w:line="149"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available cash and other sources of funding and may not use them effectively.</w:t>
      </w:r>
    </w:p>
    <w:p>
      <w:pPr>
        <w:spacing w:after="0" w:line="170" w:lineRule="exact"/>
        <w:rPr>
          <w:sz w:val="20"/>
          <w:szCs w:val="20"/>
          <w:color w:val="auto"/>
        </w:rPr>
      </w:pPr>
    </w:p>
    <w:p>
      <w:pPr>
        <w:ind w:left="60" w:right="119" w:firstLine="441"/>
        <w:spacing w:after="0" w:line="275" w:lineRule="auto"/>
        <w:rPr>
          <w:sz w:val="20"/>
          <w:szCs w:val="20"/>
          <w:color w:val="auto"/>
        </w:rPr>
      </w:pPr>
      <w:r>
        <w:rPr>
          <w:rFonts w:ascii="Arial" w:cs="Arial" w:eastAsia="Arial" w:hAnsi="Arial"/>
          <w:sz w:val="17"/>
          <w:szCs w:val="17"/>
          <w:color w:val="auto"/>
        </w:rPr>
        <w:t>Our management has broad discretion in the use of our available cash and other sources of funding and could spend those resources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its use, our available cash may be invested in a manner that does not produce income or that loses value.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29"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b w:val="1"/>
          <w:bCs w:val="1"/>
          <w:i w:val="1"/>
          <w:iCs w:val="1"/>
          <w:color w:val="auto"/>
        </w:rPr>
        <w:t>We depend heavily on the success of DEXTENZA and our product candidates. Clinical trials of our product candidates may not be successful. If we are unable to successfully complete clinical development of and obtain marketing approvals for our product candidates, or experience significant delays in doing so, or if after obtaining marketing approvals, we fail to maintain marketing approval or fail to commercialize these product candidates, our business will be materially harmed.</w:t>
      </w:r>
    </w:p>
    <w:p>
      <w:pPr>
        <w:spacing w:after="0" w:line="188" w:lineRule="exact"/>
        <w:rPr>
          <w:sz w:val="20"/>
          <w:szCs w:val="20"/>
          <w:color w:val="auto"/>
        </w:rPr>
      </w:pPr>
    </w:p>
    <w:p>
      <w:pPr>
        <w:ind w:left="60" w:right="119" w:firstLine="441"/>
        <w:spacing w:after="0" w:line="311" w:lineRule="auto"/>
        <w:rPr>
          <w:sz w:val="20"/>
          <w:szCs w:val="20"/>
          <w:color w:val="auto"/>
        </w:rPr>
      </w:pPr>
      <w:r>
        <w:rPr>
          <w:rFonts w:ascii="Arial" w:cs="Arial" w:eastAsia="Arial" w:hAnsi="Arial"/>
          <w:sz w:val="16"/>
          <w:szCs w:val="16"/>
          <w:color w:val="auto"/>
        </w:rPr>
        <w:t>We have devoted a significant portion of our financial resources and business efforts to the development of our drug-eluting intracanalicular insert products for diseases and conditions of the front of the eye and for our other product candidates. In particular, we are investing substantial resources to complete the development of DEXTENZA for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4" w:lineRule="auto"/>
        <w:rPr>
          <w:sz w:val="20"/>
          <w:szCs w:val="20"/>
          <w:color w:val="auto"/>
        </w:rPr>
      </w:pPr>
      <w:r>
        <w:rPr>
          <w:rFonts w:ascii="Arial" w:cs="Arial" w:eastAsia="Arial" w:hAnsi="Arial"/>
          <w:sz w:val="17"/>
          <w:szCs w:val="17"/>
          <w:color w:val="auto"/>
        </w:rPr>
        <w:t>allergic conjunctivitis, OTX-TKI for wet AMD, OTX-TIC for glaucoma or ocular hypertension, OTX-CSI for the chronic treatment of dry eye disease, and OTX-DED for the short-term treatment of the signs and symptoms of dry eye</w:t>
      </w:r>
    </w:p>
    <w:p>
      <w:pPr>
        <w:ind w:left="60" w:right="119"/>
        <w:spacing w:after="0" w:line="285" w:lineRule="auto"/>
        <w:rPr>
          <w:sz w:val="20"/>
          <w:szCs w:val="20"/>
          <w:color w:val="auto"/>
        </w:rPr>
      </w:pPr>
      <w:r>
        <w:rPr>
          <w:rFonts w:ascii="Arial" w:cs="Arial" w:eastAsia="Arial" w:hAnsi="Arial"/>
          <w:sz w:val="16"/>
          <w:szCs w:val="16"/>
          <w:color w:val="auto"/>
        </w:rPr>
        <w:t>disease. We have received a target action date under the Prescription Drug User Fee Act, commonly known as PDUFA, of October 18, 2021, for our supplemental New Drug Application, or sNDA, to include ocular itching associated with allergic conjunctivitis as an additional indication. We currently have several ongoing and planned clinical trials, including our Phase 1 clinical trial of OTX-TKI, our Phase 1 clinical trial of OTX-TIC, our Phase 2 clinical trial of OTX-CSI, and our Phase 2 clinical trial for OTX-DED. If these or other clinical trials of any product candidate that we develop fail to demonstrate safety and efficacy to the satisfaction of the FDA or other regulatory authorities or do not otherwise produce favorable results, we may incur additional costs or experience delays in completing, or ultimately be unable to complete, the development and commercialization of such product candidate. We cannot accurately predict when or if any of our product candidates will prove effective or safe in humans or whether our products and product candidates will receive marketing approval or reach successful commercialization. Our ability to generate product revenues sufficient to achieve profitability will depend heavily on our commercialization of DEXTENZA for the treatment of ocular inflammation and pain following ophthalmic surgery and our obtaining marketing approval for and commercializing other products with significant market potential, including DEXTENZA for additional indications.</w:t>
      </w:r>
    </w:p>
    <w:p>
      <w:pPr>
        <w:spacing w:after="0" w:line="169" w:lineRule="exact"/>
        <w:rPr>
          <w:sz w:val="20"/>
          <w:szCs w:val="20"/>
          <w:color w:val="auto"/>
        </w:rPr>
      </w:pPr>
    </w:p>
    <w:p>
      <w:pPr>
        <w:ind w:left="60" w:right="559" w:firstLine="441"/>
        <w:spacing w:after="0" w:line="277" w:lineRule="auto"/>
        <w:rPr>
          <w:sz w:val="20"/>
          <w:szCs w:val="20"/>
          <w:color w:val="auto"/>
        </w:rPr>
      </w:pPr>
      <w:r>
        <w:rPr>
          <w:rFonts w:ascii="Arial" w:cs="Arial" w:eastAsia="Arial" w:hAnsi="Arial"/>
          <w:sz w:val="18"/>
          <w:szCs w:val="18"/>
          <w:color w:val="auto"/>
        </w:rPr>
        <w:t>The commercial success of our product DEXTENZA and our product candidates will depend on many factors, including the following:</w:t>
      </w:r>
    </w:p>
    <w:p>
      <w:pPr>
        <w:spacing w:after="0" w:line="170" w:lineRule="exact"/>
        <w:rPr>
          <w:sz w:val="20"/>
          <w:szCs w:val="20"/>
          <w:color w:val="auto"/>
        </w:rPr>
      </w:pPr>
    </w:p>
    <w:p>
      <w:pPr>
        <w:ind w:left="880" w:hanging="371"/>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225" w:lineRule="exact"/>
        <w:rPr>
          <w:rFonts w:ascii="Arial" w:cs="Arial" w:eastAsia="Arial" w:hAnsi="Arial"/>
          <w:sz w:val="18"/>
          <w:szCs w:val="18"/>
          <w:color w:val="auto"/>
        </w:rPr>
      </w:pPr>
    </w:p>
    <w:p>
      <w:pPr>
        <w:ind w:left="840" w:right="239" w:hanging="331"/>
        <w:spacing w:after="0" w:line="277"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applying for and receiving and maintaining marketing approvals from applicable regulatory authorities for our product candidates;</w:t>
      </w:r>
    </w:p>
    <w:p>
      <w:pPr>
        <w:spacing w:after="0" w:line="170" w:lineRule="exact"/>
        <w:rPr>
          <w:rFonts w:ascii="Arial" w:cs="Arial" w:eastAsia="Arial" w:hAnsi="Arial"/>
          <w:sz w:val="18"/>
          <w:szCs w:val="18"/>
          <w:color w:val="auto"/>
        </w:rPr>
      </w:pPr>
    </w:p>
    <w:p>
      <w:pPr>
        <w:ind w:left="840" w:right="79" w:hanging="331"/>
        <w:spacing w:after="0" w:line="263"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scaling up our manufacturing processes and capabilities to support additional or larger clinical trials of our product candidates and commercialization of DEXTENZA or any of our product candidates for which we obtain marketing approval;</w:t>
      </w:r>
    </w:p>
    <w:p>
      <w:pPr>
        <w:spacing w:after="0" w:line="183" w:lineRule="exact"/>
        <w:rPr>
          <w:rFonts w:ascii="Arial" w:cs="Arial" w:eastAsia="Arial" w:hAnsi="Arial"/>
          <w:sz w:val="18"/>
          <w:szCs w:val="18"/>
          <w:color w:val="auto"/>
        </w:rPr>
      </w:pPr>
    </w:p>
    <w:p>
      <w:pPr>
        <w:ind w:left="840" w:right="439" w:hanging="331"/>
        <w:spacing w:after="0" w:line="277"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developing, validating and maintaining a commercially viable manufacturing process that is compliant with current good manufacturing practices, or cGMP;</w:t>
      </w:r>
    </w:p>
    <w:p>
      <w:pPr>
        <w:spacing w:after="0" w:line="170" w:lineRule="exact"/>
        <w:rPr>
          <w:rFonts w:ascii="Arial" w:cs="Arial" w:eastAsia="Arial" w:hAnsi="Arial"/>
          <w:sz w:val="18"/>
          <w:szCs w:val="18"/>
          <w:color w:val="auto"/>
        </w:rPr>
      </w:pPr>
    </w:p>
    <w:p>
      <w:pPr>
        <w:ind w:left="840" w:right="359" w:hanging="331"/>
        <w:spacing w:after="0" w:line="308" w:lineRule="auto"/>
        <w:tabs>
          <w:tab w:leader="none" w:pos="8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developing our sales, marketing and distribution capabilities and launching commercial sales of our products and product candidates, if and when approved, whether alone or in collaboration with others;</w:t>
      </w:r>
    </w:p>
    <w:p>
      <w:pPr>
        <w:spacing w:after="0" w:line="146" w:lineRule="exact"/>
        <w:rPr>
          <w:rFonts w:ascii="Arial" w:cs="Arial" w:eastAsia="Arial" w:hAnsi="Arial"/>
          <w:sz w:val="17"/>
          <w:szCs w:val="17"/>
          <w:color w:val="auto"/>
        </w:rPr>
      </w:pPr>
    </w:p>
    <w:p>
      <w:pPr>
        <w:ind w:left="840" w:hanging="331"/>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partnering successfully with our current and future collaborators, including Regeneron and AffaMed;</w:t>
      </w:r>
    </w:p>
    <w:p>
      <w:pPr>
        <w:spacing w:after="0" w:line="225" w:lineRule="exact"/>
        <w:rPr>
          <w:rFonts w:ascii="Arial" w:cs="Arial" w:eastAsia="Arial" w:hAnsi="Arial"/>
          <w:sz w:val="18"/>
          <w:szCs w:val="18"/>
          <w:color w:val="auto"/>
        </w:rPr>
      </w:pPr>
    </w:p>
    <w:p>
      <w:pPr>
        <w:ind w:left="840" w:right="239" w:hanging="331"/>
        <w:spacing w:after="0" w:line="277"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gaining acceptance of our products, if and when approved, by patients, the medical community and third-party payors;</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and maintaining coverage and adequate reimbursement from third-party payors;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and</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sz w:val="20"/>
          <w:szCs w:val="20"/>
          <w:color w:val="auto"/>
        </w:rPr>
      </w:pPr>
    </w:p>
    <w:p>
      <w:pPr>
        <w:ind w:left="60" w:right="179" w:firstLine="441"/>
        <w:spacing w:after="0" w:line="301" w:lineRule="auto"/>
        <w:rPr>
          <w:sz w:val="20"/>
          <w:szCs w:val="20"/>
          <w:color w:val="auto"/>
        </w:rPr>
      </w:pPr>
      <w:r>
        <w:rPr>
          <w:rFonts w:ascii="Arial" w:cs="Arial" w:eastAsia="Arial" w:hAnsi="Arial"/>
          <w:sz w:val="16"/>
          <w:szCs w:val="16"/>
          <w:color w:val="auto"/>
        </w:rPr>
        <w:t>In certain cases, such as in our collaborations with Regeneron and AffaMed, many of these factors may be beyond our control, including clinical development and sales, marketing and distribution efforts. If we or our collaborators do not achieve one or more of these factors in a timely manner or at all, we could experience significant delays or an inability to successfully commercialize our products and product candidates, which would materially harm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b w:val="1"/>
          <w:bCs w:val="1"/>
          <w:i w:val="1"/>
          <w:iCs w:val="1"/>
          <w:color w:val="auto"/>
        </w:rPr>
        <w:t>If clinical trials of our intracanalicular insert, intravitreal implant, intracameral implant, or suprachoroidal implant product candidates or any other product candidate that we develop fail to demonstrate safety and efficacy to the satisfaction of the FDA, the EMA or other regulatory authorities or do not otherwise produce favorable results, we may incur additional costs or experience delays in completing, or ultimately be delayed or unable to complete, the development and commercialization of such product candidate.</w:t>
      </w:r>
    </w:p>
    <w:p>
      <w:pPr>
        <w:spacing w:after="0" w:line="176"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color w:val="auto"/>
        </w:rPr>
        <w:t>Before obtaining marketing approval from regulatory authorities for the sale of any product candidate, including our intracanalicular insert product candidates, we must complete preclinical development and then conduct extensive clinical trials to demonstrate the safety and efficacy of our product candidates in humans</w:t>
      </w:r>
      <w:r>
        <w:rPr>
          <w:rFonts w:ascii="Arial" w:cs="Arial" w:eastAsia="Arial" w:hAnsi="Arial"/>
          <w:sz w:val="17"/>
          <w:szCs w:val="17"/>
          <w:i w:val="1"/>
          <w:iCs w:val="1"/>
          <w:color w:val="auto"/>
        </w:rPr>
        <w:t>.</w:t>
      </w:r>
      <w:r>
        <w:rPr>
          <w:rFonts w:ascii="Arial" w:cs="Arial" w:eastAsia="Arial" w:hAnsi="Arial"/>
          <w:sz w:val="17"/>
          <w:szCs w:val="17"/>
          <w:color w:val="auto"/>
        </w:rPr>
        <w:t xml:space="preserve"> Clinical testing is expensive, difficult to design and implement, can take many years to complete and is uncertain as to outcome</w:t>
      </w:r>
      <w:r>
        <w:rPr>
          <w:rFonts w:ascii="Arial" w:cs="Arial" w:eastAsia="Arial" w:hAnsi="Arial"/>
          <w:sz w:val="17"/>
          <w:szCs w:val="17"/>
          <w:i w:val="1"/>
          <w:iCs w:val="1"/>
          <w:color w:val="auto"/>
        </w:rPr>
        <w:t>.</w:t>
      </w:r>
      <w:r>
        <w:rPr>
          <w:rFonts w:ascii="Arial" w:cs="Arial" w:eastAsia="Arial" w:hAnsi="Arial"/>
          <w:sz w:val="17"/>
          <w:szCs w:val="17"/>
          <w:color w:val="auto"/>
        </w:rPr>
        <w:t xml:space="preserve"> A failure of one or more clinical trials can occur at any stage of testing</w:t>
      </w:r>
      <w:r>
        <w:rPr>
          <w:rFonts w:ascii="Arial" w:cs="Arial" w:eastAsia="Arial" w:hAnsi="Arial"/>
          <w:sz w:val="17"/>
          <w:szCs w:val="17"/>
          <w:i w:val="1"/>
          <w:iCs w:val="1"/>
          <w:color w:val="auto"/>
        </w:rPr>
        <w:t>.</w:t>
      </w:r>
      <w:r>
        <w:rPr>
          <w:rFonts w:ascii="Arial" w:cs="Arial" w:eastAsia="Arial" w:hAnsi="Arial"/>
          <w:sz w:val="17"/>
          <w:szCs w:val="17"/>
          <w:color w:val="auto"/>
        </w:rPr>
        <w:t xml:space="preserve"> The outcome of preclinical testing and early clinical trials may not be predictive of the success of later stage clinical trials, interim results of a clinical trial do not necessarily predict final results and results from one completed clinical trial may not be replicated in a subsequent clinical trial with a similar study design</w:t>
      </w:r>
      <w:r>
        <w:rPr>
          <w:rFonts w:ascii="Arial" w:cs="Arial" w:eastAsia="Arial" w:hAnsi="Arial"/>
          <w:sz w:val="17"/>
          <w:szCs w:val="17"/>
          <w:i w:val="1"/>
          <w:iCs w:val="1"/>
          <w:color w:val="auto"/>
        </w:rPr>
        <w:t>.</w:t>
      </w:r>
      <w:r>
        <w:rPr>
          <w:rFonts w:ascii="Arial" w:cs="Arial" w:eastAsia="Arial" w:hAnsi="Arial"/>
          <w:sz w:val="17"/>
          <w:szCs w:val="17"/>
          <w:color w:val="auto"/>
        </w:rPr>
        <w:t xml:space="preserve"> Some of our completed studies were conducted with small patient populations, making it difficult to predict whether the favorable results that we observed in such studies will be repeated in larger and more advanced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9" w:lineRule="exact"/>
        <w:rPr>
          <w:sz w:val="20"/>
          <w:szCs w:val="20"/>
          <w:color w:val="auto"/>
        </w:rPr>
      </w:pPr>
    </w:p>
    <w:p>
      <w:pPr>
        <w:ind w:left="60" w:right="299" w:firstLine="441"/>
        <w:spacing w:after="0" w:line="286" w:lineRule="auto"/>
        <w:rPr>
          <w:sz w:val="20"/>
          <w:szCs w:val="20"/>
          <w:color w:val="auto"/>
        </w:rPr>
      </w:pPr>
      <w:r>
        <w:rPr>
          <w:rFonts w:ascii="Arial" w:cs="Arial" w:eastAsia="Arial" w:hAnsi="Arial"/>
          <w:sz w:val="16"/>
          <w:szCs w:val="16"/>
          <w:color w:val="auto"/>
        </w:rPr>
        <w:t>In general, the FDA requires two adequate and well-controlled clinical trials to support the effectiveness of a new drug for marketing approval. In a Phase 2 clinical trial of DEXTENZA that we completed in 2013 in which we were evaluating DEXTENZA for post-surgical ocular inflammation and pain following cataract surgery, DEXTENZA did not meet the primary efficacy endpoint for inflammation with statistical significance at the pre-specified time point at day</w:t>
      </w:r>
    </w:p>
    <w:p>
      <w:pPr>
        <w:spacing w:after="0" w:line="1" w:lineRule="exact"/>
        <w:rPr>
          <w:sz w:val="20"/>
          <w:szCs w:val="20"/>
          <w:color w:val="auto"/>
        </w:rPr>
      </w:pPr>
    </w:p>
    <w:p>
      <w:pPr>
        <w:ind w:left="60" w:right="319" w:hanging="10"/>
        <w:spacing w:after="0" w:line="281" w:lineRule="auto"/>
        <w:tabs>
          <w:tab w:leader="none" w:pos="285" w:val="left"/>
        </w:tabs>
        <w:numPr>
          <w:ilvl w:val="0"/>
          <w:numId w:val="45"/>
        </w:numPr>
        <w:rPr>
          <w:rFonts w:ascii="Arial" w:cs="Arial" w:eastAsia="Arial" w:hAnsi="Arial"/>
          <w:sz w:val="16"/>
          <w:szCs w:val="16"/>
          <w:color w:val="auto"/>
        </w:rPr>
      </w:pPr>
      <w:r>
        <w:rPr>
          <w:rFonts w:ascii="Arial" w:cs="Arial" w:eastAsia="Arial" w:hAnsi="Arial"/>
          <w:sz w:val="16"/>
          <w:szCs w:val="16"/>
          <w:color w:val="auto"/>
        </w:rPr>
        <w:t>However, we did achieve statistical significance for this inflammation endpoint at days 14 and 30. Accordingly, we measured the primary efficacy endpoint for inflammation in our completed Phase 3 clinical trials of DEXTENZA at day</w:t>
      </w:r>
    </w:p>
    <w:p>
      <w:pPr>
        <w:spacing w:after="0" w:line="1" w:lineRule="exact"/>
        <w:rPr>
          <w:rFonts w:ascii="Arial" w:cs="Arial" w:eastAsia="Arial" w:hAnsi="Arial"/>
          <w:sz w:val="16"/>
          <w:szCs w:val="16"/>
          <w:color w:val="auto"/>
        </w:rPr>
      </w:pPr>
    </w:p>
    <w:p>
      <w:pPr>
        <w:ind w:left="60" w:right="379" w:hanging="10"/>
        <w:spacing w:after="0" w:line="295" w:lineRule="auto"/>
        <w:tabs>
          <w:tab w:leader="none" w:pos="3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first and third Phase 3 clinical trials, DEXTENZA met both primary endpoints for post-surgical ocular inflammation and pain following cataract surgery with statistical significance. However, in the second Phase 3 clinical trial, DEXTENZA met only one of the two primary efficacy endpoints with statistical significance. In this second trial, DEXTENZA did not meet the primary endpoint relating to absence of inflammatory cells in the study eye at day 14.</w:t>
      </w:r>
    </w:p>
    <w:p>
      <w:pPr>
        <w:spacing w:after="0" w:line="161" w:lineRule="exact"/>
        <w:rPr>
          <w:sz w:val="20"/>
          <w:szCs w:val="20"/>
          <w:color w:val="auto"/>
        </w:rPr>
      </w:pPr>
    </w:p>
    <w:p>
      <w:pPr>
        <w:ind w:left="60" w:right="59" w:firstLine="441"/>
        <w:spacing w:after="0" w:line="268" w:lineRule="auto"/>
        <w:rPr>
          <w:sz w:val="20"/>
          <w:szCs w:val="20"/>
          <w:color w:val="auto"/>
        </w:rPr>
      </w:pPr>
      <w:r>
        <w:rPr>
          <w:rFonts w:ascii="Arial" w:cs="Arial" w:eastAsia="Arial" w:hAnsi="Arial"/>
          <w:sz w:val="17"/>
          <w:szCs w:val="17"/>
          <w:color w:val="auto"/>
        </w:rPr>
        <w:t>We announced topline results from a third Phase 3 clinical trial of DEXTENZA for post-surgical ocular inflammation and pain in November 2016, which we used to support the potential labeling expansion of DEXTENZA’s indications for use. We modified the design of this third Phase 3 clinical trial compared to our two previous Phase 3 clinical trials of DEXTENZA based on our learnings from these trials. In this trial, DEXTENZA successfully met its two primary efficacy endpoints for inflammation and pain, achieving statistically significant differences between the treatment group and the placebo group for the absence of inflammatory cells on day 14 and the absence of pain on day 8, respectively. Secondary analyses on the primary efficacy measures have also been completed. DEXTENZA achieved each of the secondary endpoints related to absence of inflammatory cells, absence of pain, and absence of anterior chamber flare with statistical significance compared to placebo at each of the pre-specified time points, with the exception of the endpoint for the absence of inflammatory cells at day 2 (which is the day following surgery). Based on the results of our third Phase 3 clinical trial of DEXTENZA and subsequent approval in November 2018 for the pain indication pursuant to the initial NDA, we submitted an sNDA for DEXTENZA for the treatment of post-surgical ocular inflammation in January 2019, and the FDA approved the sNDA in June 2019.</w:t>
      </w:r>
    </w:p>
    <w:p>
      <w:pPr>
        <w:spacing w:after="0" w:line="186" w:lineRule="exact"/>
        <w:rPr>
          <w:sz w:val="20"/>
          <w:szCs w:val="20"/>
          <w:color w:val="auto"/>
        </w:rPr>
      </w:pPr>
    </w:p>
    <w:p>
      <w:pPr>
        <w:ind w:left="60" w:right="79" w:firstLine="441"/>
        <w:spacing w:after="0" w:line="286" w:lineRule="auto"/>
        <w:rPr>
          <w:sz w:val="20"/>
          <w:szCs w:val="20"/>
          <w:color w:val="auto"/>
        </w:rPr>
      </w:pPr>
      <w:r>
        <w:rPr>
          <w:rFonts w:ascii="Arial" w:cs="Arial" w:eastAsia="Arial" w:hAnsi="Arial"/>
          <w:sz w:val="16"/>
          <w:szCs w:val="16"/>
          <w:color w:val="auto"/>
        </w:rPr>
        <w:t>In our first Phase 3 clinical trial of DEXTENZA for allergic conjunctivitis, for which we announced topline results in October 2015, DEXTENZA met one of the two primary endpoints. DEXTENZA achieved the primary endpoint for ocular itching associated with allergic conjunctivitis but not the primary endpoint for conjunctival redness, in each case measured on day 7 after insertion of the insert. The difference in the mean scores for ocular itching between the DEXTENZA group and the placebo group was greater than 0.5 units on a five point scale at all time points on day 7 post-insertion and was greater than 1.0 unit at a majority of the time points on day 7 post-insertion. The DEXTENZA group did not achieve these pre-specified endpoints on day 7 post-insertion with respect to conjunctival redness. In our second Phase 3 clinical trial of DEXTENZA for allergic conjunctivitis, for which we announced topline results in June 2016, DEXTENZA did not meet the sole primary endpoint for ocular itching. The single primary endpoint of the second Phase 3 clinical trial was the difference in the mean scores in ocular itching between the treatment group and the placebo comparator group at three time points on day 7 following insertion of the inserts. While mean ocular itching was seen to be numerically lower (more favorable) in the DEXTENZA treatment group compared to the placebo group measured at each of the three specified times on day 7 following insertion of the inserts, at 3, 5, and 7 minutes by -0.18, -0.29, and -</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0.29 units, respectively, on a five point scale, this difference did not reach statistical significance. In addition, the trial did not achieve the requirement of at least a 0.5 unit difference at all three time points on day 7 following insertion of the inserts and at least a 1.0 unit difference at the majority of the three time points between the treatment group and the placebo group on day 7 following insertion of the inserts. Further, in our prior Phase 2 clinical trial of DEXTENZA in which we were evaluating DEXTENZA for allergic conjunctivitis, DEXTENZA met one of the two primary efficacy measures. The DEXTENZA treatment group achieved a mean difference compared to the vehicle control group of more than 0.5 units on a five point scale on day 14 for all three time points measured in a day for both ocular itching and conjunctival</w:t>
      </w:r>
    </w:p>
    <w:p>
      <w:pPr>
        <w:spacing w:after="0" w:line="2"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redness. The DEXTENZA group did not achieve a mean difference compared to the vehicle control group of 1.0 unit for the majority of the three time points measured on day 14 for either ocular itching or conjunctival redness. Post-hoc analyses that we performed on the results of our two completed Phase 3 clinical trials for allergic conjunctivitis may not be predictive of success in any future Phase 3 clinical trial. Although we believe that these analyses provide important information regarding DEXTENZA and are helpful in understanding the results of this trial and determining the appropriate criteria for future clinical trials, post-hoc analyses performed using an unlocked clinical trial database can result in the introduction of bias and are given less weight by regulatory authorities than pre-specified analyses.</w:t>
      </w:r>
    </w:p>
    <w:p>
      <w:pPr>
        <w:spacing w:after="0" w:line="180" w:lineRule="exact"/>
        <w:rPr>
          <w:sz w:val="20"/>
          <w:szCs w:val="20"/>
          <w:color w:val="auto"/>
        </w:rPr>
      </w:pPr>
    </w:p>
    <w:p>
      <w:pPr>
        <w:ind w:left="60" w:right="99" w:firstLine="441"/>
        <w:spacing w:after="0" w:line="284" w:lineRule="auto"/>
        <w:rPr>
          <w:sz w:val="20"/>
          <w:szCs w:val="20"/>
          <w:color w:val="auto"/>
        </w:rPr>
      </w:pPr>
      <w:r>
        <w:rPr>
          <w:rFonts w:ascii="Arial" w:cs="Arial" w:eastAsia="Arial" w:hAnsi="Arial"/>
          <w:sz w:val="16"/>
          <w:szCs w:val="16"/>
          <w:color w:val="auto"/>
        </w:rPr>
        <w:t>Even if we obtain favorable clinical trial results in an additional Phase 3 clinical trial of DEXTENZA for allergic conjunctivitis, such as our third Phase 3 clinical trial, including meeting all primary efficacy measures, we may not obtain approval for DEXTENZA to treat allergic conjunctivitis or ocular itching associated with allergic conjunctivitis, or the FDA may require that we conduct additional clinical trials. For example, in April 2020, we announced the topline results from our third Phase 3 clinical trial assessing ocular itching associated with allergic conjunctivitis in which DEXTENZA achieved its primary endpoint as treated subjects demonstrated a statistically significant (p-value &lt; 0.0001) difference in mean ocular itching scores compared to vehicle-treated subjects at all three pre-specified time points compared with placebo-treated subjects. We believe that this efficacy data, considered in totality with a favorable safety profile and the data from the prior Phase 2, Phase 3a and Phase 3b clinical trials, provides the basis for a submission of an sNDA for DEXTENZA to include the treatment of ocular itching associated with allergic conjunctivitis as an additional approved indication. However, the FDA may not agree with our view of the clinical meaningfulness of the data. We understand that the FDA has in the past considered, for trials similar to ours, clinical meaningfulness to be a 0.5 unit difference at all relevant time points and at least a 1.0 unit difference at a majority of time points assessed. DEXTENZA did not achieve these measures in the third Phase 3 clinical trial. Achievement of such differences is also affected by the statistical methodology we utilize to review the clinical trial data. As previously disclosed, in our first Phase 3 clinical trial for the treatment of ocular itching associated with allergic conjunctivitis, DEXTENZA achieved a 0.5 unit difference at all relevant time points and at least a 1.0 unit difference at a majority of time points assessed using the Markov Chain Monte Carlo, or MCMC, method where the basis for imputation was at the individual eye level. However, using the MCMC method specified in the applicable statistical analysis plan—where the basis for imputation is at the subject level (average of the two eyes)—DEXTENZA did not achieve all of these measures. If the FDA were to require that a product candidate achieve these measures of clinical meaningfulness, approval of our sNDA could be delayed or prevented.</w:t>
      </w:r>
    </w:p>
    <w:p>
      <w:pPr>
        <w:spacing w:after="0" w:line="180" w:lineRule="exact"/>
        <w:rPr>
          <w:sz w:val="20"/>
          <w:szCs w:val="20"/>
          <w:color w:val="auto"/>
        </w:rPr>
      </w:pPr>
    </w:p>
    <w:p>
      <w:pPr>
        <w:ind w:left="60" w:right="99" w:firstLine="441"/>
        <w:spacing w:after="0" w:line="272" w:lineRule="auto"/>
        <w:rPr>
          <w:sz w:val="20"/>
          <w:szCs w:val="20"/>
          <w:color w:val="auto"/>
        </w:rPr>
      </w:pPr>
      <w:r>
        <w:rPr>
          <w:rFonts w:ascii="Arial" w:cs="Arial" w:eastAsia="Arial" w:hAnsi="Arial"/>
          <w:sz w:val="17"/>
          <w:szCs w:val="17"/>
          <w:color w:val="auto"/>
        </w:rPr>
        <w:t>From time to time, we may decide to conduct clinical trials to assess patients’ clinical response to treatment and choose not to power such trials to measure the applicable efficacy endpoints with statistical significance, as we did in our Phase 2 clinical trials of our former product candidate OTX-TP for the treatment of glaucoma and ocular hypertension. In addition, post-hoc analyses such as those that we performed on certain results of Phase 2 clinical trials of OTX-TP may not be predictive of success in future clinical trials, including as a result of differences in trial design. Post-hoc analyses performed using an unlocked clinical trial database can also result in the introduction of bias and are given less weight by regulatory authorities than pre-specified analyses.</w:t>
      </w:r>
    </w:p>
    <w:p>
      <w:pPr>
        <w:spacing w:after="0" w:line="177" w:lineRule="exact"/>
        <w:rPr>
          <w:sz w:val="20"/>
          <w:szCs w:val="20"/>
          <w:color w:val="auto"/>
        </w:rPr>
      </w:pPr>
    </w:p>
    <w:p>
      <w:pPr>
        <w:ind w:left="60" w:right="59" w:firstLine="441"/>
        <w:spacing w:after="0" w:line="288" w:lineRule="auto"/>
        <w:rPr>
          <w:sz w:val="20"/>
          <w:szCs w:val="20"/>
          <w:color w:val="auto"/>
        </w:rPr>
      </w:pPr>
      <w:r>
        <w:rPr>
          <w:rFonts w:ascii="Arial" w:cs="Arial" w:eastAsia="Arial" w:hAnsi="Arial"/>
          <w:sz w:val="16"/>
          <w:szCs w:val="16"/>
          <w:color w:val="auto"/>
        </w:rPr>
        <w:t>The success of our intracanalicular insert product candidates is dependent upon retention during the course of intended therapy. As such, we may conduct non-significant risk investigational device exemption, or IDE, medical device, or NSR, studies in the United States for our extended-delivery intracanalicular insert in an effort to increase the rate of retention. All NSR studies that we have performed to date have involved placebo vehicle control intracanalicular inserts without active drug. If we determine to make any future changes to the design or composition of our inserts, such changes could affect the outcome of any subsequent clinical trials using these updated inserts. For example, in our Phase 2b clinical trial of OTX-TP, we used a different version of intracanalicular insert than either of the inserts that we used in our Phase 2a clinical trial of OTX-TP. Based on the results of our completed Phase 2a clinical trial, we designed the OTX-TP insert that was used in our Phase 2b clinical trial to deliver drug over a 90 day period at the same daily rate as the two-month version of the insert used in the Phase 2a clinical trial. To achieve this, we modified the design of the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OTX-TP insert to enlarge it in order to enable the insert to carry a greater amount of drug. In addition, we incorporated minor structural changes to improve retention rates. In our Phase 2b clinical trials, OTX-TP inserts could be visualized in approximately 88% of eyes by the day 60 visit. By the day 90 visit, the ability to visualize OTX-TP had declined to approximately 42% of eyes as the hydrogel softened, liquefied and had either advanced further down in the canaliculus or had cleared through the nasolacrimal duct.</w:t>
      </w:r>
    </w:p>
    <w:p>
      <w:pPr>
        <w:spacing w:after="0" w:line="188" w:lineRule="exact"/>
        <w:rPr>
          <w:sz w:val="20"/>
          <w:szCs w:val="20"/>
          <w:color w:val="auto"/>
        </w:rPr>
      </w:pPr>
    </w:p>
    <w:p>
      <w:pPr>
        <w:ind w:left="60" w:right="99" w:firstLine="441"/>
        <w:spacing w:after="0" w:line="257" w:lineRule="auto"/>
        <w:rPr>
          <w:sz w:val="20"/>
          <w:szCs w:val="20"/>
          <w:color w:val="auto"/>
        </w:rPr>
      </w:pPr>
      <w:r>
        <w:rPr>
          <w:rFonts w:ascii="Arial" w:cs="Arial" w:eastAsia="Arial" w:hAnsi="Arial"/>
          <w:sz w:val="18"/>
          <w:szCs w:val="18"/>
          <w:color w:val="auto"/>
        </w:rPr>
        <w:t>We are conducting additional NSR studies on additional modified insert designs, including a polyethylene glycol, or PEG, tip on the proximal end of the insert that have been incorporated into the design of certain of our clinical trials. If the retention rates for our inserts in future clinical trials are inadequate to ensure that the patient is receiving appropriate therapy, we may not be able to obtain regulatory approvals or, even if approved, achieve market acceptance of our local programmed-release drug delivery products.</w:t>
      </w:r>
    </w:p>
    <w:p>
      <w:pPr>
        <w:spacing w:after="0" w:line="188" w:lineRule="exact"/>
        <w:rPr>
          <w:sz w:val="20"/>
          <w:szCs w:val="20"/>
          <w:color w:val="auto"/>
        </w:rPr>
      </w:pPr>
    </w:p>
    <w:p>
      <w:pPr>
        <w:ind w:left="60" w:right="59" w:firstLine="441"/>
        <w:spacing w:after="0" w:line="284" w:lineRule="auto"/>
        <w:rPr>
          <w:sz w:val="20"/>
          <w:szCs w:val="20"/>
          <w:color w:val="auto"/>
        </w:rPr>
      </w:pPr>
      <w:r>
        <w:rPr>
          <w:rFonts w:ascii="Arial" w:cs="Arial" w:eastAsia="Arial" w:hAnsi="Arial"/>
          <w:sz w:val="16"/>
          <w:szCs w:val="16"/>
          <w:color w:val="auto"/>
        </w:rPr>
        <w:t>The protocols for our clinical trials and other supporting information are subject to review by the FDA and regulatory authorities outside the United States. For certain of our product candidates, we have chosen to conduct our initial or earlier-stage clinical trials outside the United States. We generally plan to conduct our later stage and pivotal clinical trials of our product candidates in the United States. The FDA, however, could require us to conduct additional studies or require us to modify our planned pivotal clinical trials to receive clearance to initiate such trials in the United States or to continue such trials once initiated. The FDA is not obligated to comment on our trial protocols within any specified time period or at all or to affirmatively clear or approve our planned pivotal clinical trials. Subject to a waiting period of</w:t>
      </w:r>
    </w:p>
    <w:p>
      <w:pPr>
        <w:spacing w:after="0" w:line="2"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30 days, we could choose to initiate our pivotal clinical trials in the United States without waiting for any additional period for comments from the FDA.</w:t>
      </w:r>
    </w:p>
    <w:p>
      <w:pPr>
        <w:spacing w:after="0" w:line="185" w:lineRule="exact"/>
        <w:rPr>
          <w:sz w:val="20"/>
          <w:szCs w:val="20"/>
          <w:color w:val="auto"/>
        </w:rPr>
      </w:pPr>
    </w:p>
    <w:p>
      <w:pPr>
        <w:ind w:left="60" w:right="479"/>
        <w:spacing w:after="0" w:line="308" w:lineRule="auto"/>
        <w:rPr>
          <w:sz w:val="20"/>
          <w:szCs w:val="20"/>
          <w:color w:val="auto"/>
        </w:rPr>
      </w:pPr>
      <w:r>
        <w:rPr>
          <w:rFonts w:ascii="Arial" w:cs="Arial" w:eastAsia="Arial" w:hAnsi="Arial"/>
          <w:sz w:val="17"/>
          <w:szCs w:val="17"/>
          <w:b w:val="1"/>
          <w:bCs w:val="1"/>
          <w:i w:val="1"/>
          <w:iCs w:val="1"/>
          <w:color w:val="auto"/>
        </w:rPr>
        <w:t>We have conducted, and may in the future conduct, clinical trials for product candidates at sites outside the United States, and the FDA may not accept data from trials conducted in such locations.</w:t>
      </w:r>
    </w:p>
    <w:p>
      <w:pPr>
        <w:spacing w:after="0" w:line="146" w:lineRule="exact"/>
        <w:rPr>
          <w:sz w:val="20"/>
          <w:szCs w:val="20"/>
          <w:color w:val="auto"/>
        </w:rPr>
      </w:pPr>
    </w:p>
    <w:p>
      <w:pPr>
        <w:jc w:val="both"/>
        <w:ind w:left="60" w:right="319" w:firstLine="441"/>
        <w:spacing w:after="0" w:line="273" w:lineRule="auto"/>
        <w:rPr>
          <w:sz w:val="20"/>
          <w:szCs w:val="20"/>
          <w:color w:val="auto"/>
        </w:rPr>
      </w:pPr>
      <w:r>
        <w:rPr>
          <w:rFonts w:ascii="Arial" w:cs="Arial" w:eastAsia="Arial" w:hAnsi="Arial"/>
          <w:sz w:val="17"/>
          <w:szCs w:val="17"/>
          <w:color w:val="auto"/>
        </w:rPr>
        <w:t>We have conducted, and may in the future choose to conduct, one or more of our clinical trials outside the United States. We have often conducted our initial and earlier-stage clinical trials for our product candidates outside the United States. We are currently conducting a Phase 1 clinical trial for our product candidate OTX-TKI for the treatment of wet AMD in Australia, and pending our receipt and review of topline data in the Phase 1 clinical trial and related regulatory discussions, we plan to initiate a Phase 2 clinical trial for OTX-TKI in Australia. We generally plan to conduct our later stage and pivotal clinical trials of our product candidates in the United States.</w:t>
      </w:r>
    </w:p>
    <w:p>
      <w:pPr>
        <w:spacing w:after="0" w:line="178" w:lineRule="exact"/>
        <w:rPr>
          <w:sz w:val="20"/>
          <w:szCs w:val="20"/>
          <w:color w:val="auto"/>
        </w:rPr>
      </w:pPr>
    </w:p>
    <w:p>
      <w:pPr>
        <w:ind w:left="60" w:right="79" w:firstLine="441"/>
        <w:spacing w:after="0" w:line="270" w:lineRule="auto"/>
        <w:rPr>
          <w:sz w:val="20"/>
          <w:szCs w:val="20"/>
          <w:color w:val="auto"/>
        </w:rPr>
      </w:pPr>
      <w:r>
        <w:rPr>
          <w:rFonts w:ascii="Arial" w:cs="Arial" w:eastAsia="Arial" w:hAnsi="Arial"/>
          <w:sz w:val="17"/>
          <w:szCs w:val="17"/>
          <w:color w:val="auto"/>
        </w:rPr>
        <w:t>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would delay or permanently halt our development of the applicable product candidates.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risks inherent in conducting international clinical trials include:</w:t>
      </w:r>
    </w:p>
    <w:p>
      <w:pPr>
        <w:spacing w:after="0" w:line="225" w:lineRule="exact"/>
        <w:rPr>
          <w:sz w:val="20"/>
          <w:szCs w:val="20"/>
          <w:color w:val="auto"/>
        </w:rPr>
      </w:pPr>
    </w:p>
    <w:p>
      <w:pPr>
        <w:ind w:left="840" w:hanging="331"/>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foreign regulatory requirements that could restrict or limit our ability to conduct our clinical trials;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sets of foreign regulations;</w:t>
      </w:r>
    </w:p>
    <w:p>
      <w:pPr>
        <w:spacing w:after="0" w:line="225" w:lineRule="exact"/>
        <w:rPr>
          <w:rFonts w:ascii="Arial" w:cs="Arial" w:eastAsia="Arial" w:hAnsi="Arial"/>
          <w:sz w:val="18"/>
          <w:szCs w:val="18"/>
          <w:color w:val="auto"/>
        </w:rPr>
      </w:pPr>
    </w:p>
    <w:p>
      <w:pPr>
        <w:ind w:left="840" w:right="519" w:hanging="331"/>
        <w:spacing w:after="0" w:line="277"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of enrolled patients to adhere to clinical protocols as a result of differences in healthcare services or cultural customs;</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and</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political and economic risks relevant to foreign countries.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79"/>
        <w:spacing w:after="0" w:line="381" w:lineRule="auto"/>
        <w:rPr>
          <w:sz w:val="20"/>
          <w:szCs w:val="20"/>
          <w:color w:val="auto"/>
        </w:rPr>
      </w:pPr>
      <w:r>
        <w:rPr>
          <w:rFonts w:ascii="Arial" w:cs="Arial" w:eastAsia="Arial" w:hAnsi="Arial"/>
          <w:sz w:val="15"/>
          <w:szCs w:val="15"/>
          <w:b w:val="1"/>
          <w:bCs w:val="1"/>
          <w:i w:val="1"/>
          <w:iCs w:val="1"/>
          <w:color w:val="auto"/>
        </w:rPr>
        <w:t>If we experience any of a number of possible unforeseen events in connection with our clinical trials, potential marketing approval or commercialization of our product candidates could be delayed or prevented.</w:t>
      </w:r>
    </w:p>
    <w:p>
      <w:pPr>
        <w:spacing w:after="0" w:line="100" w:lineRule="exact"/>
        <w:rPr>
          <w:sz w:val="20"/>
          <w:szCs w:val="20"/>
          <w:color w:val="auto"/>
        </w:rPr>
      </w:pPr>
    </w:p>
    <w:p>
      <w:pPr>
        <w:ind w:left="60" w:right="199" w:firstLine="441"/>
        <w:spacing w:after="0" w:line="263"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extended-delivery drug delivery product candidates or any other product candidates that we may develop, including:</w:t>
      </w:r>
    </w:p>
    <w:p>
      <w:pPr>
        <w:spacing w:after="0" w:line="184" w:lineRule="exact"/>
        <w:rPr>
          <w:sz w:val="20"/>
          <w:szCs w:val="20"/>
          <w:color w:val="auto"/>
        </w:rPr>
      </w:pPr>
    </w:p>
    <w:p>
      <w:pPr>
        <w:ind w:left="840" w:right="359" w:hanging="331"/>
        <w:spacing w:after="0" w:line="342" w:lineRule="auto"/>
        <w:tabs>
          <w:tab w:leader="none" w:pos="8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and we may decide, or regulators may require us, to conduct additional clinical trials or abandon product development programs;</w:t>
      </w:r>
    </w:p>
    <w:p>
      <w:pPr>
        <w:spacing w:after="0" w:line="123" w:lineRule="exact"/>
        <w:rPr>
          <w:rFonts w:ascii="Arial" w:cs="Arial" w:eastAsia="Arial" w:hAnsi="Arial"/>
          <w:sz w:val="16"/>
          <w:szCs w:val="16"/>
          <w:color w:val="auto"/>
        </w:rPr>
      </w:pPr>
    </w:p>
    <w:p>
      <w:pPr>
        <w:ind w:left="840" w:right="119" w:hanging="331"/>
        <w:spacing w:after="0" w:line="263"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83" w:lineRule="exact"/>
        <w:rPr>
          <w:rFonts w:ascii="Arial" w:cs="Arial" w:eastAsia="Arial" w:hAnsi="Arial"/>
          <w:sz w:val="18"/>
          <w:szCs w:val="18"/>
          <w:color w:val="auto"/>
        </w:rPr>
      </w:pPr>
    </w:p>
    <w:p>
      <w:pPr>
        <w:ind w:left="840" w:right="239" w:hanging="331"/>
        <w:spacing w:after="0" w:line="277"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obligations to us in a timely manner, or at all;</w:t>
      </w:r>
    </w:p>
    <w:p>
      <w:pPr>
        <w:spacing w:after="0" w:line="170" w:lineRule="exact"/>
        <w:rPr>
          <w:rFonts w:ascii="Arial" w:cs="Arial" w:eastAsia="Arial" w:hAnsi="Arial"/>
          <w:sz w:val="18"/>
          <w:szCs w:val="18"/>
          <w:color w:val="auto"/>
        </w:rPr>
      </w:pPr>
    </w:p>
    <w:p>
      <w:pPr>
        <w:ind w:left="840" w:right="79" w:hanging="331"/>
        <w:spacing w:after="0" w:line="277"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840" w:right="639" w:hanging="331"/>
        <w:spacing w:after="0" w:line="277"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170" w:lineRule="exact"/>
        <w:rPr>
          <w:rFonts w:ascii="Arial" w:cs="Arial" w:eastAsia="Arial" w:hAnsi="Arial"/>
          <w:sz w:val="18"/>
          <w:szCs w:val="18"/>
          <w:color w:val="auto"/>
        </w:rPr>
      </w:pPr>
    </w:p>
    <w:p>
      <w:pPr>
        <w:ind w:left="840" w:right="479" w:hanging="331"/>
        <w:spacing w:after="0" w:line="263"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research for various reasons, including noncompliance with regulatory requirements or a finding that the participants are being exposed to unacceptable health risks;</w:t>
      </w:r>
    </w:p>
    <w:p>
      <w:pPr>
        <w:spacing w:after="0" w:line="183" w:lineRule="exact"/>
        <w:rPr>
          <w:rFonts w:ascii="Arial" w:cs="Arial" w:eastAsia="Arial" w:hAnsi="Arial"/>
          <w:sz w:val="18"/>
          <w:szCs w:val="18"/>
          <w:color w:val="auto"/>
        </w:rPr>
      </w:pPr>
    </w:p>
    <w:p>
      <w:pPr>
        <w:ind w:left="840" w:hanging="331"/>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w:t>
      </w:r>
    </w:p>
    <w:p>
      <w:pPr>
        <w:spacing w:after="0" w:line="225" w:lineRule="exact"/>
        <w:rPr>
          <w:rFonts w:ascii="Arial" w:cs="Arial" w:eastAsia="Arial" w:hAnsi="Arial"/>
          <w:sz w:val="18"/>
          <w:szCs w:val="18"/>
          <w:color w:val="auto"/>
        </w:rPr>
      </w:pPr>
    </w:p>
    <w:p>
      <w:pPr>
        <w:ind w:left="840" w:right="499" w:hanging="331"/>
        <w:spacing w:after="0" w:line="277"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sz w:val="20"/>
          <w:szCs w:val="20"/>
          <w:color w:val="auto"/>
        </w:rPr>
      </w:pPr>
    </w:p>
    <w:p>
      <w:pPr>
        <w:ind w:left="60" w:right="79" w:firstLine="441"/>
        <w:spacing w:after="0" w:line="254" w:lineRule="auto"/>
        <w:rPr>
          <w:sz w:val="20"/>
          <w:szCs w:val="20"/>
          <w:color w:val="auto"/>
        </w:rPr>
      </w:pPr>
      <w:r>
        <w:rPr>
          <w:rFonts w:ascii="Arial" w:cs="Arial" w:eastAsia="Arial" w:hAnsi="Arial"/>
          <w:sz w:val="18"/>
          <w:szCs w:val="18"/>
          <w:color w:val="auto"/>
        </w:rPr>
        <w:t>For example, we applied for a deferral from the FDA for the requirement to conduct pediatric studies for DEXTENZA for the treatment of post-surgical ocular inflammation and pain following cataract surgery until after approval of such product in adult populations for that indication. While the FDA ultimately approved our request, if the FDA had required us to conduct pediatric studies in advance of FDA approval in adult populations, we would have experienced significant delays in our ability to obtain marketing approval for DEXTENZA for these indications, particularly in light of our decision announced in November 2019 to postpone our clinical trial to evaluate DEXTENZA in pediatric subjects following cataract surgery until the fourth quarter of 2020. We will face a similar risk if we seek a comparable deferral for other product candidates or indications.</w:t>
      </w:r>
    </w:p>
    <w:p>
      <w:pPr>
        <w:spacing w:after="0" w:line="192" w:lineRule="exact"/>
        <w:rPr>
          <w:sz w:val="20"/>
          <w:szCs w:val="20"/>
          <w:color w:val="auto"/>
        </w:rPr>
      </w:pPr>
    </w:p>
    <w:p>
      <w:pPr>
        <w:jc w:val="both"/>
        <w:ind w:left="60" w:right="119" w:firstLine="441"/>
        <w:spacing w:after="0" w:line="311" w:lineRule="auto"/>
        <w:rPr>
          <w:sz w:val="20"/>
          <w:szCs w:val="20"/>
          <w:color w:val="auto"/>
        </w:rPr>
      </w:pPr>
      <w:r>
        <w:rPr>
          <w:rFonts w:ascii="Arial" w:cs="Arial" w:eastAsia="Arial" w:hAnsi="Arial"/>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favorable or are only modestly favorable or if there are safety concerns, we may:</w:t>
      </w:r>
    </w:p>
    <w:p>
      <w:pPr>
        <w:spacing w:after="0" w:line="149" w:lineRule="exact"/>
        <w:rPr>
          <w:sz w:val="20"/>
          <w:szCs w:val="20"/>
          <w:color w:val="auto"/>
        </w:rPr>
      </w:pPr>
    </w:p>
    <w:p>
      <w:pPr>
        <w:ind w:left="840" w:hanging="331"/>
        <w:spacing w:after="0"/>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 delayed in obtaining or unable to obtain marketing approval for our product candidates;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236" w:lineRule="exact"/>
        <w:rPr>
          <w:rFonts w:ascii="Arial" w:cs="Arial" w:eastAsia="Arial" w:hAnsi="Arial"/>
          <w:sz w:val="17"/>
          <w:szCs w:val="17"/>
          <w:color w:val="auto"/>
        </w:rPr>
      </w:pPr>
    </w:p>
    <w:p>
      <w:pPr>
        <w:ind w:left="840" w:hanging="331"/>
        <w:spacing w:after="0"/>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441"/>
        <w:spacing w:after="0" w:line="275" w:lineRule="auto"/>
        <w:rPr>
          <w:sz w:val="20"/>
          <w:szCs w:val="20"/>
          <w:color w:val="auto"/>
        </w:rPr>
      </w:pPr>
      <w:r>
        <w:rPr>
          <w:rFonts w:ascii="Arial" w:cs="Arial" w:eastAsia="Arial" w:hAnsi="Arial"/>
          <w:sz w:val="17"/>
          <w:szCs w:val="17"/>
          <w:color w:val="auto"/>
        </w:rPr>
        <w:t>Our product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left="60" w:right="79" w:firstLine="441"/>
        <w:spacing w:after="0" w:line="253" w:lineRule="auto"/>
        <w:rPr>
          <w:sz w:val="20"/>
          <w:szCs w:val="20"/>
          <w:color w:val="auto"/>
        </w:rPr>
      </w:pPr>
      <w:r>
        <w:rPr>
          <w:rFonts w:ascii="Arial" w:cs="Arial" w:eastAsia="Arial" w:hAnsi="Arial"/>
          <w:sz w:val="18"/>
          <w:szCs w:val="18"/>
          <w:color w:val="auto"/>
        </w:rPr>
        <w:t>We may not be able to initiate or continue clinical trials for our local programmed-release drug delivery product candidates or our other product candidates that we may develop if we are unable to locate and enroll a sufficient number of eligible patients to participate in these trials as required by the FDA, the EMA or similar regulatory authorities outside the United States. Although there is a significant prevalence of disease in the areas of ophthalmology in which we are focused, we may nonetheless experience unanticipated difficulty with patient enrollment. For example, in the third quarter of 2017, we initiated a Phase 1 clinical trial of OTX-TIC outside the United States. After several months, after not enrolling any patients, we closed this trial in the second quarter of 2018. Additionally, we intended to initiate our ongoing Phase 1 clinical trial of OTX-TKI outside the United States in 2018, but we were unable to start dosing patients until the first quarter of 2019.</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variety of factors affect patient enrollment, including:</w:t>
      </w:r>
    </w:p>
    <w:p>
      <w:pPr>
        <w:spacing w:after="0" w:line="225" w:lineRule="exact"/>
        <w:rPr>
          <w:sz w:val="20"/>
          <w:szCs w:val="20"/>
          <w:color w:val="auto"/>
        </w:rPr>
      </w:pPr>
    </w:p>
    <w:p>
      <w:pPr>
        <w:ind w:left="840" w:hanging="331"/>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prevalence and severity of the ophthalmic disease or condition under investigation;</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rFonts w:ascii="Arial" w:cs="Arial" w:eastAsia="Arial" w:hAnsi="Arial"/>
          <w:sz w:val="18"/>
          <w:szCs w:val="18"/>
          <w:color w:val="auto"/>
        </w:rPr>
      </w:pPr>
    </w:p>
    <w:p>
      <w:pPr>
        <w:ind w:left="840" w:right="239" w:hanging="331"/>
        <w:spacing w:after="0" w:line="277" w:lineRule="auto"/>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or threatened public health emergencies or outbreaks of disease (including, for example, the COVID-19 pandemic);</w:t>
      </w:r>
    </w:p>
    <w:p>
      <w:pPr>
        <w:spacing w:after="0" w:line="170" w:lineRule="exact"/>
        <w:rPr>
          <w:rFonts w:ascii="Arial" w:cs="Arial" w:eastAsia="Arial" w:hAnsi="Arial"/>
          <w:sz w:val="18"/>
          <w:szCs w:val="18"/>
          <w:color w:val="auto"/>
        </w:rPr>
      </w:pPr>
    </w:p>
    <w:p>
      <w:pPr>
        <w:ind w:left="840" w:right="139" w:hanging="331"/>
        <w:spacing w:after="0" w:line="277" w:lineRule="auto"/>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 and</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lack of adequate compensation for prospective patients.</w:t>
      </w:r>
    </w:p>
    <w:p>
      <w:pPr>
        <w:spacing w:after="0" w:line="225" w:lineRule="exact"/>
        <w:rPr>
          <w:sz w:val="20"/>
          <w:szCs w:val="20"/>
          <w:color w:val="auto"/>
        </w:rPr>
      </w:pPr>
    </w:p>
    <w:p>
      <w:pPr>
        <w:ind w:left="60" w:right="219" w:firstLine="441"/>
        <w:spacing w:after="0" w:line="259" w:lineRule="auto"/>
        <w:rPr>
          <w:sz w:val="20"/>
          <w:szCs w:val="20"/>
          <w:color w:val="auto"/>
        </w:rPr>
      </w:pPr>
      <w:r>
        <w:rPr>
          <w:rFonts w:ascii="Arial" w:cs="Arial" w:eastAsia="Arial" w:hAnsi="Arial"/>
          <w:sz w:val="18"/>
          <w:szCs w:val="18"/>
          <w:color w:val="auto"/>
        </w:rPr>
        <w:t>Delays can be more pronounced with later-stage clinical trials because they tend to be larger than early-stage trials. For example, enrollment in our completed Phase 3 clinical trial of OTX-TP, the largest clinical trial we have conducted to date, was significantly slower than expected. It had a target enrollment of 550 patients and was conducted at approximately 49 sites in the United States.</w:t>
      </w:r>
    </w:p>
    <w:p>
      <w:pPr>
        <w:spacing w:after="0" w:line="187" w:lineRule="exact"/>
        <w:rPr>
          <w:sz w:val="20"/>
          <w:szCs w:val="20"/>
          <w:color w:val="auto"/>
        </w:rPr>
      </w:pPr>
    </w:p>
    <w:p>
      <w:pPr>
        <w:ind w:left="60" w:right="279" w:firstLine="441"/>
        <w:spacing w:after="0" w:line="301" w:lineRule="auto"/>
        <w:rPr>
          <w:sz w:val="20"/>
          <w:szCs w:val="20"/>
          <w:color w:val="auto"/>
        </w:rPr>
      </w:pPr>
      <w:r>
        <w:rPr>
          <w:rFonts w:ascii="Arial" w:cs="Arial" w:eastAsia="Arial" w:hAnsi="Arial"/>
          <w:sz w:val="16"/>
          <w:szCs w:val="16"/>
          <w:color w:val="auto"/>
        </w:rPr>
        <w:t>Our inability to enroll a sufficient number of patients in any of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b w:val="1"/>
          <w:bCs w:val="1"/>
          <w:i w:val="1"/>
          <w:iCs w:val="1"/>
          <w:color w:val="auto"/>
        </w:rPr>
        <w:t>If serious adverse or unacceptable side effects are identified during the development or commercialization of our extended-delivery drug delivery products or product candidates or any other product candidates that we may develop, we may need to abandon or limit our development of such products or product candidates.</w:t>
      </w:r>
    </w:p>
    <w:p>
      <w:pPr>
        <w:spacing w:after="0" w:line="165" w:lineRule="exact"/>
        <w:rPr>
          <w:sz w:val="20"/>
          <w:szCs w:val="20"/>
          <w:color w:val="auto"/>
        </w:rPr>
      </w:pPr>
    </w:p>
    <w:p>
      <w:pPr>
        <w:ind w:left="60" w:right="139" w:firstLine="441"/>
        <w:spacing w:after="0" w:line="268" w:lineRule="auto"/>
        <w:rPr>
          <w:sz w:val="20"/>
          <w:szCs w:val="20"/>
          <w:color w:val="auto"/>
        </w:rPr>
      </w:pPr>
      <w:r>
        <w:rPr>
          <w:rFonts w:ascii="Arial" w:cs="Arial" w:eastAsia="Arial" w:hAnsi="Arial"/>
          <w:sz w:val="17"/>
          <w:szCs w:val="17"/>
          <w:color w:val="auto"/>
        </w:rPr>
        <w:t>If DEXTENZA or any of our other product candidates are associated with serious adverse events or undesirable side effects in clinical trials or have characteristics that are unexpected, we may need to abandon their development or limit development to more narrow uses or subpopulations in which the serious adverse events, undesirable side effects or other characteristics are less prevalent, less severe or more acceptable from a risk-benefit perspective. In each of our first two Phase 3 clinical trials of DEXTENZA for the treatment of post-surgical ocular inflammation and pain following cataract surgery, there were two subjects that experienced serious adverse events in the DEXTENZA group in each trial, none of which were ocular in nature or considered by the investigator to be related to the study treatment. In our third Phase 3 clinical trial of DEXTENZA for the treatment of post-surgical ocular inflammation and pain, there were three subjects that experienced serious adverse events in the DEXTENZA group, one of which was ocular in nature and none of which were considered by the investigator to be related to the study treatment. There was one ocular serious adverse event in the vehicle control group in the three completed Phase 3 clinical trials, which was hypopyon, or inflammatory cells in the anterior chamber. In our earlier Phase 2 clinical trial of DEXTENZA for the same indication, there were three serious adverse events, none of which was considered by the investigator to be related to the study treatment. In the DEXTENZA group of this Phase 2 clinical trial of DEXTENZA, the only adverse event that occurred more than once for the same subject was reduced visual acuity, which occurred twice but was not considered by the investigator to be related to the study treatment.</w:t>
      </w:r>
    </w:p>
    <w:p>
      <w:pPr>
        <w:spacing w:after="0" w:line="180" w:lineRule="exact"/>
        <w:rPr>
          <w:sz w:val="20"/>
          <w:szCs w:val="20"/>
          <w:color w:val="auto"/>
        </w:rPr>
      </w:pPr>
    </w:p>
    <w:p>
      <w:pPr>
        <w:ind w:left="60" w:right="119" w:firstLine="441"/>
        <w:spacing w:after="0" w:line="259" w:lineRule="auto"/>
        <w:rPr>
          <w:sz w:val="20"/>
          <w:szCs w:val="20"/>
          <w:color w:val="auto"/>
        </w:rPr>
      </w:pPr>
      <w:r>
        <w:rPr>
          <w:rFonts w:ascii="Arial" w:cs="Arial" w:eastAsia="Arial" w:hAnsi="Arial"/>
          <w:sz w:val="18"/>
          <w:szCs w:val="18"/>
          <w:color w:val="auto"/>
        </w:rPr>
        <w:t>Many compounds that initially showed promise in clinical or early-stage testing for treating ophthalmic disease have later been found to cause side effects that prevented further development of the compound. In addition, adverse events which had initially been considered unrelated to the study treatment may later be found to be caused by the study treatment.</w:t>
      </w:r>
    </w:p>
    <w:p>
      <w:pPr>
        <w:spacing w:after="0" w:line="187" w:lineRule="exact"/>
        <w:rPr>
          <w:sz w:val="20"/>
          <w:szCs w:val="20"/>
          <w:color w:val="auto"/>
        </w:rPr>
      </w:pPr>
    </w:p>
    <w:p>
      <w:pPr>
        <w:ind w:left="60" w:right="519"/>
        <w:spacing w:after="0" w:line="286" w:lineRule="auto"/>
        <w:rPr>
          <w:sz w:val="20"/>
          <w:szCs w:val="20"/>
          <w:color w:val="auto"/>
        </w:rPr>
      </w:pPr>
      <w:r>
        <w:rPr>
          <w:rFonts w:ascii="Arial" w:cs="Arial" w:eastAsia="Arial" w:hAnsi="Arial"/>
          <w:sz w:val="17"/>
          <w:szCs w:val="17"/>
          <w:b w:val="1"/>
          <w:bCs w:val="1"/>
          <w:i w:val="1"/>
          <w:iCs w:val="1"/>
          <w:color w:val="auto"/>
        </w:rPr>
        <w:t>We may not be successful in our efforts to develop products and product candidates based on our bioresorbable hydrogel technology platform other than DEXTENZA and ReSure Sealant or expand the use of our bioresorbable hydrogel technology for treating additional diseases and conditions.</w:t>
      </w:r>
    </w:p>
    <w:p>
      <w:pPr>
        <w:spacing w:after="0" w:line="165" w:lineRule="exact"/>
        <w:rPr>
          <w:sz w:val="20"/>
          <w:szCs w:val="20"/>
          <w:color w:val="auto"/>
        </w:rPr>
      </w:pPr>
    </w:p>
    <w:p>
      <w:pPr>
        <w:ind w:left="60" w:right="79" w:firstLine="441"/>
        <w:spacing w:after="0" w:line="286" w:lineRule="auto"/>
        <w:rPr>
          <w:sz w:val="20"/>
          <w:szCs w:val="20"/>
          <w:color w:val="auto"/>
        </w:rPr>
      </w:pPr>
      <w:r>
        <w:rPr>
          <w:rFonts w:ascii="Arial" w:cs="Arial" w:eastAsia="Arial" w:hAnsi="Arial"/>
          <w:sz w:val="16"/>
          <w:szCs w:val="16"/>
          <w:color w:val="auto"/>
        </w:rPr>
        <w:t>We are currently directing most of our development efforts towards applying our proprietary, bioresorbable hydrogel technology platform to products and product candidates that are designed to provide local programmed-release hydrogel-based therapeutic agents to the eye using active pharmaceutical ingredients that are currently used in FDA-approved ophthalmic drugs. We have a number of products and product candidates at various stages of development based on our bioresorbable hydrogel technology platform and are exploring the potential use of our platform for other ophthalmic diseases and conditions. These include intracanalicular inserts eluting drug product to the ocular surface; hydrogel drug delivery implants designed to release therapeutic antibodies and small molecules such as TKIs to modulate the biological activity of VEGF over a sustained period following administration by an intravitreal injection for the treatment of diseases and conditions of the back of the eye, including wet AMD; and hydrogel drug delivery implants designed to release drug product into the anterior chamber of the eye via an intracameral injection for the treatment of diseases and conditions of the front of the eye. Our collaboration with Regeneron focuses on the development and potential commercialization of products to be delivered to the suprachoroidal space containing our extended-delivery hydrogel formulation in combination with Regeneron’s large molecule VEGF-targeting compounds for the treatment of retinal diseases.</w:t>
      </w:r>
    </w:p>
    <w:p>
      <w:pPr>
        <w:spacing w:after="0" w:line="174" w:lineRule="exact"/>
        <w:rPr>
          <w:sz w:val="20"/>
          <w:szCs w:val="20"/>
          <w:color w:val="auto"/>
        </w:rPr>
      </w:pPr>
    </w:p>
    <w:p>
      <w:pPr>
        <w:ind w:left="60" w:right="79" w:firstLine="531"/>
        <w:spacing w:after="0" w:line="291" w:lineRule="auto"/>
        <w:rPr>
          <w:sz w:val="20"/>
          <w:szCs w:val="20"/>
          <w:color w:val="auto"/>
        </w:rPr>
      </w:pPr>
      <w:r>
        <w:rPr>
          <w:rFonts w:ascii="Arial" w:cs="Arial" w:eastAsia="Arial" w:hAnsi="Arial"/>
          <w:sz w:val="16"/>
          <w:szCs w:val="16"/>
          <w:color w:val="auto"/>
        </w:rPr>
        <w:t>Our existing product candidates and any other potential product candidates that we or our collaborators identify may not be suitable for continued preclinical or clinical development, including as a result of being shown to have harmful side effects or other characteristics that indicate that they are unlikely to be products that will receive marketing approval and achieve market acceptance. We are also considering the future growth potential of the hydrogel platform technology in new areas of the body. If we do not successfully develop and commercialize our products and product candidates that we or our current or future collaborators develop based upon our technological approach, we will not be able to obtain substantial product revenues or revenue from collaboration agreements, including our collaboration with Regeneron, in future periods.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product candidate or indication and fail to capitalize on product candidates or indications that may be more profitable or for which there is a greater likelihood of success.</w:t>
      </w:r>
    </w:p>
    <w:p>
      <w:pPr>
        <w:spacing w:after="0" w:line="184" w:lineRule="exact"/>
        <w:rPr>
          <w:sz w:val="20"/>
          <w:szCs w:val="20"/>
          <w:color w:val="auto"/>
        </w:rPr>
      </w:pPr>
    </w:p>
    <w:p>
      <w:pPr>
        <w:ind w:left="60" w:right="159" w:firstLine="441"/>
        <w:spacing w:after="0" w:line="301"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w:t>
      </w:r>
    </w:p>
    <w:p>
      <w:pPr>
        <w:spacing w:after="0" w:line="157" w:lineRule="exact"/>
        <w:rPr>
          <w:sz w:val="20"/>
          <w:szCs w:val="20"/>
          <w:color w:val="auto"/>
        </w:rPr>
      </w:pPr>
    </w:p>
    <w:p>
      <w:pPr>
        <w:ind w:left="60" w:right="219" w:firstLine="441"/>
        <w:spacing w:after="0" w:line="272" w:lineRule="auto"/>
        <w:rPr>
          <w:sz w:val="20"/>
          <w:szCs w:val="20"/>
          <w:color w:val="auto"/>
        </w:rPr>
      </w:pPr>
      <w:r>
        <w:rPr>
          <w:rFonts w:ascii="Arial" w:cs="Arial" w:eastAsia="Arial" w:hAnsi="Arial"/>
          <w:sz w:val="17"/>
          <w:szCs w:val="17"/>
          <w:color w:val="auto"/>
        </w:rPr>
        <w:t>As part of our restructuring plan announced in November 2019, we decided to defer certain development programs as part of an initiative to reduce expenses and prioritize our resources to focus on commercializing DEXTENZA for post-surgical ocular inflammation and pain as well as completing the ongoing Phase 3 clinical trial of DEXTENZA for the treatment of ocular itching associated with allergic conjunctivitis, a Phase 1 clinical trial of OTX-TIC for the treatment of glaucoma and ocular hypertension, and a Phase 1 clinical trial of OTX-TKI for the treatment of wet AMD. Our prioritization of these programs, at the expense of others, during our restructuring may have delayed programs such as OTX-CSI and OTX-DED that we are now seeking to develop.</w:t>
      </w:r>
    </w:p>
    <w:p>
      <w:pPr>
        <w:spacing w:after="0" w:line="177" w:lineRule="exact"/>
        <w:rPr>
          <w:sz w:val="20"/>
          <w:szCs w:val="20"/>
          <w:color w:val="auto"/>
        </w:rPr>
      </w:pPr>
    </w:p>
    <w:p>
      <w:pPr>
        <w:ind w:left="60" w:right="119" w:firstLine="441"/>
        <w:spacing w:after="0" w:line="257" w:lineRule="auto"/>
        <w:rPr>
          <w:sz w:val="20"/>
          <w:szCs w:val="20"/>
          <w:color w:val="auto"/>
        </w:rPr>
      </w:pPr>
      <w:r>
        <w:rPr>
          <w:rFonts w:ascii="Arial" w:cs="Arial" w:eastAsia="Arial" w:hAnsi="Arial"/>
          <w:sz w:val="18"/>
          <w:szCs w:val="18"/>
          <w:color w:val="auto"/>
        </w:rPr>
        <w:t>Similarly, we are now prioritizing the continued commercialization of DEXTENZA and the advancement through Phase 2 clinical development of each of OTX-TKI for the treatment of wet AMD, OTX-TIC for the treatment of glaucoma or ocular hypertension, OTX-CSI for the chronic treatment of dry eye disease, and OTX-DED for the short-term treatment of the signs and symptoms of dry eye disease. Although we believe such prioritization is currently the best use of our resources, we may not be correct.</w:t>
      </w:r>
    </w:p>
    <w:p>
      <w:pPr>
        <w:spacing w:after="0" w:line="188" w:lineRule="exact"/>
        <w:rPr>
          <w:sz w:val="20"/>
          <w:szCs w:val="20"/>
          <w:color w:val="auto"/>
        </w:rPr>
      </w:pPr>
    </w:p>
    <w:p>
      <w:pPr>
        <w:ind w:left="60" w:right="199" w:firstLine="441"/>
        <w:spacing w:after="0" w:line="296" w:lineRule="auto"/>
        <w:rPr>
          <w:sz w:val="20"/>
          <w:szCs w:val="20"/>
          <w:color w:val="auto"/>
        </w:rPr>
      </w:pPr>
      <w:r>
        <w:rPr>
          <w:rFonts w:ascii="Arial" w:cs="Arial" w:eastAsia="Arial" w:hAnsi="Arial"/>
          <w:sz w:val="16"/>
          <w:szCs w:val="16"/>
          <w:color w:val="auto"/>
        </w:rPr>
        <w:t>Our spending on current and future research and development programs and product candidates for specific indications may not yield any commercially viable products. If we do not accurately evaluate the commercial potential or target market for a particular product or product candidate, we may relinquish valuable rights to that product or product candidate through collaboration, licensing or other royalty arrangements in cases in which it would have been more advantageous for us to retain sole development and commercialization rights to such products or product candidate.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29" w:lineRule="exact"/>
        <w:rPr>
          <w:sz w:val="20"/>
          <w:szCs w:val="20"/>
          <w:color w:val="auto"/>
        </w:rPr>
      </w:pPr>
    </w:p>
    <w:p>
      <w:pPr>
        <w:ind w:left="60" w:right="519"/>
        <w:spacing w:after="0" w:line="340" w:lineRule="auto"/>
        <w:rPr>
          <w:sz w:val="20"/>
          <w:szCs w:val="20"/>
          <w:color w:val="auto"/>
        </w:rPr>
      </w:pPr>
      <w:r>
        <w:rPr>
          <w:rFonts w:ascii="Arial" w:cs="Arial" w:eastAsia="Arial" w:hAnsi="Arial"/>
          <w:sz w:val="15"/>
          <w:szCs w:val="15"/>
          <w:b w:val="1"/>
          <w:bCs w:val="1"/>
          <w:i w:val="1"/>
          <w:iCs w:val="1"/>
          <w:color w:val="auto"/>
        </w:rPr>
        <w:t>We will need to upgrade and expand our manufacturing facility or relocate to another facility and to augment our manufacturing personnel and processes in order to meet our business plans. If we fail to do so, we may not have sufficient quantities of our products or product candidates to meet our commercial and clinical trial requirements.</w:t>
      </w:r>
    </w:p>
    <w:p>
      <w:pPr>
        <w:spacing w:after="0" w:line="131" w:lineRule="exact"/>
        <w:rPr>
          <w:sz w:val="20"/>
          <w:szCs w:val="20"/>
          <w:color w:val="auto"/>
        </w:rPr>
      </w:pPr>
    </w:p>
    <w:p>
      <w:pPr>
        <w:ind w:left="60" w:right="79" w:firstLine="441"/>
        <w:spacing w:after="0" w:line="286" w:lineRule="auto"/>
        <w:rPr>
          <w:sz w:val="20"/>
          <w:szCs w:val="20"/>
          <w:color w:val="auto"/>
        </w:rPr>
      </w:pPr>
      <w:r>
        <w:rPr>
          <w:rFonts w:ascii="Arial" w:cs="Arial" w:eastAsia="Arial" w:hAnsi="Arial"/>
          <w:sz w:val="16"/>
          <w:szCs w:val="16"/>
          <w:color w:val="auto"/>
        </w:rPr>
        <w:t>We manufacture DEXTENZA, ReSure Sealant and our product candidates for use in clinical trials, research and development and commercial efforts at our facility located in Bedford, Massachusetts. In order to meet our business plan, which contemplates our scaling up manufacturing processes to support the commercialization of our current products and the development and potential commercialization of our current and future product candidates, we will need to upgrade and expand our existing manufacturing facility, or relocate to another manufacturing facility; add manufacturing, quality and support personnel; ensure that new processes, systems, and facilities are qualified and validated; and ensure that any new processes and systems are consistently implemented in our facility or facilities. The upgrade and expansion of our facility, or the relocation to an additional facility, will require additional regulatory approvals including FDA audits of such new processes, systems, and facilities. In addition, it will be costly and time-consuming to expand our facility or relocate to another facility and recruit necessary additional personnel. If we are unable to expand our manufacturing facility or relocate to another facility in compliance with regulatory requirements or to hire additional necessary manufacturing personnel, we may encounter delays or additional costs in achieving our research, development and commercialization objectives, including obtaining regulatory approvals of our product candidates and meeting customer demand for our products, which could materially damage our business and financial position.</w:t>
      </w:r>
    </w:p>
    <w:p>
      <w:pPr>
        <w:spacing w:after="0" w:line="171" w:lineRule="exact"/>
        <w:rPr>
          <w:sz w:val="20"/>
          <w:szCs w:val="20"/>
          <w:color w:val="auto"/>
        </w:rPr>
      </w:pPr>
    </w:p>
    <w:p>
      <w:pPr>
        <w:ind w:left="60" w:right="79" w:firstLine="441"/>
        <w:spacing w:after="0" w:line="275" w:lineRule="auto"/>
        <w:rPr>
          <w:sz w:val="20"/>
          <w:szCs w:val="20"/>
          <w:color w:val="auto"/>
        </w:rPr>
      </w:pPr>
      <w:r>
        <w:rPr>
          <w:rFonts w:ascii="Arial" w:cs="Arial" w:eastAsia="Arial" w:hAnsi="Arial"/>
          <w:sz w:val="17"/>
          <w:szCs w:val="17"/>
          <w:color w:val="auto"/>
        </w:rPr>
        <w:t>We must comply with federal, state and foreign regulations, including quality standards applicable to medical device and pharmaceutical manufacturers, such as cGMP, which are enforced by the FDA through its facilities inspection program and by similar regulatory authorities in other jurisdictions where we do business. These requirements include, among other things, quality control, quality systems and the maintenance of records and documentation. For example, between March 2015 and May 2018, we received multiple Form 483s from the FDA</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containing inspectional observations relating to inadequate procedures for documenting follow-up information pertinent to the investigation of complaints and for evaluation of complaints for adverse event reporting; process controls, analytical testing and physical security procedures related to manufacture of our drug product for stability and commercial production purposes; and procedures for manufacturing processes and analytical testing related to the manufacture of drug product for commercial production. In each of July 2016 and July 2017, we also received a Complete Response Letter, or CRL, from the FDA regarding our NDA for DEXTENZA pertaining to, among other things, the deficiencies in manufacturing processes, controls, and analytical testing identified during pre-NDA approval inspections of our manufacturing facility documented on Form 483s. We may be subject to similar inspections and requirements in connection with subsequent applications for other product candidates or DEXTENZA for additional indications or in connection with periodic, routine inspections for products for which we have received marketing authorization.</w:t>
      </w:r>
    </w:p>
    <w:p>
      <w:pPr>
        <w:spacing w:after="0" w:line="168" w:lineRule="exact"/>
        <w:rPr>
          <w:sz w:val="20"/>
          <w:szCs w:val="20"/>
          <w:color w:val="auto"/>
        </w:rPr>
      </w:pPr>
    </w:p>
    <w:p>
      <w:pPr>
        <w:ind w:left="60" w:right="79" w:firstLine="441"/>
        <w:spacing w:after="0" w:line="268" w:lineRule="auto"/>
        <w:rPr>
          <w:sz w:val="20"/>
          <w:szCs w:val="20"/>
          <w:color w:val="auto"/>
        </w:rPr>
      </w:pPr>
      <w:r>
        <w:rPr>
          <w:rFonts w:ascii="Arial" w:cs="Arial" w:eastAsia="Arial" w:hAnsi="Arial"/>
          <w:sz w:val="17"/>
          <w:szCs w:val="17"/>
          <w:color w:val="auto"/>
        </w:rPr>
        <w:t>For example, as our facility is an approved pharmaceutical and medical device commercial manufacturing location, we are subject to routine inspections and system audits in connection with, among other things, our Safety, Identity, Strength, Purity, and Quality, or SISPQ; our process controls; and our standard operating procedures. If we fail to respond or comply in a satisfactory manner with any directives or observations that we may receive from the FDA as a result of inspections or informational requests, the FDA may take regulatory or other actions that would adversely impact our ability to continue manufacturing our commercial products and clinical or preclinical product candidates or to otherwise hinder or delay the clinical development and commercialization of our products and product candidates. In February 2021, the FDA requested information and records from us relating to our DEXTENZA commercial manufacturing operations and quality systems pursuant to Form 4003 in advance or in lieu of a drug inspection. In early March 2021, the FDA provided confirmation of receipt of the records that had been requested from us. Due to the COVID-19 pandemic, this Form 4003 process could be performed in lieu of an onsite inspection. However, the process is ongoing, will take time to complete, and is uncertain as to outcome. Regardless of the outcome of this informational request process, we could still be subject to an onsite inspection.</w:t>
      </w:r>
    </w:p>
    <w:p>
      <w:pPr>
        <w:spacing w:after="0" w:line="186" w:lineRule="exact"/>
        <w:rPr>
          <w:sz w:val="20"/>
          <w:szCs w:val="20"/>
          <w:color w:val="auto"/>
        </w:rPr>
      </w:pPr>
    </w:p>
    <w:p>
      <w:pPr>
        <w:ind w:left="60" w:right="59" w:firstLine="441"/>
        <w:spacing w:after="0" w:line="275" w:lineRule="auto"/>
        <w:rPr>
          <w:sz w:val="20"/>
          <w:szCs w:val="20"/>
          <w:color w:val="auto"/>
        </w:rPr>
      </w:pPr>
      <w:r>
        <w:rPr>
          <w:rFonts w:ascii="Arial" w:cs="Arial" w:eastAsia="Arial" w:hAnsi="Arial"/>
          <w:sz w:val="17"/>
          <w:szCs w:val="17"/>
          <w:color w:val="auto"/>
        </w:rPr>
        <w:t>The FDA or similar foreign regulatory authorities at any time also may implement new standards, or change their interpretation and enforcement of existing standards, for the manufacture, packaging or testing of our products. Any failure to comply with applicable regulations may result in fines and civil penalties, suspension of production, product seizure or recall, imposition of a consent decree, or withdrawal of product approval, and would limit the availability of DEXTENZA, ReSure Sealant and our product candidates that we manufacture.</w:t>
      </w:r>
    </w:p>
    <w:p>
      <w:pPr>
        <w:spacing w:after="0" w:line="176" w:lineRule="exact"/>
        <w:rPr>
          <w:sz w:val="20"/>
          <w:szCs w:val="20"/>
          <w:color w:val="auto"/>
        </w:rPr>
      </w:pPr>
    </w:p>
    <w:p>
      <w:pPr>
        <w:ind w:left="60" w:right="339" w:firstLine="441"/>
        <w:spacing w:after="0" w:line="263" w:lineRule="auto"/>
        <w:rPr>
          <w:sz w:val="20"/>
          <w:szCs w:val="20"/>
          <w:color w:val="auto"/>
        </w:rPr>
      </w:pPr>
      <w:r>
        <w:rPr>
          <w:rFonts w:ascii="Arial" w:cs="Arial" w:eastAsia="Arial" w:hAnsi="Arial"/>
          <w:sz w:val="18"/>
          <w:szCs w:val="18"/>
          <w:color w:val="auto"/>
        </w:rPr>
        <w:t>Any manufacturing defect, failure against SISPQ, or error discovered after products have been produced and distributed could result in significant consequences, including costly recall procedures, re-stocking costs, damage to our reputation and potential for product liability claims.</w:t>
      </w:r>
    </w:p>
    <w:p>
      <w:pPr>
        <w:spacing w:after="0" w:line="184"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If our sole clinical manufacturing facility is damaged or destroyed or production at this facility is otherwise interrupted, our business and prospects would be negatively affected.</w:t>
      </w:r>
    </w:p>
    <w:p>
      <w:pPr>
        <w:spacing w:after="0" w:line="170" w:lineRule="exact"/>
        <w:rPr>
          <w:sz w:val="20"/>
          <w:szCs w:val="20"/>
          <w:color w:val="auto"/>
        </w:rPr>
      </w:pPr>
    </w:p>
    <w:p>
      <w:pPr>
        <w:ind w:left="60" w:right="139" w:firstLine="441"/>
        <w:spacing w:after="0" w:line="291" w:lineRule="auto"/>
        <w:rPr>
          <w:sz w:val="20"/>
          <w:szCs w:val="20"/>
          <w:color w:val="auto"/>
        </w:rPr>
      </w:pPr>
      <w:r>
        <w:rPr>
          <w:rFonts w:ascii="Arial" w:cs="Arial" w:eastAsia="Arial" w:hAnsi="Arial"/>
          <w:sz w:val="16"/>
          <w:szCs w:val="16"/>
          <w:color w:val="auto"/>
        </w:rPr>
        <w:t>If our manufacturing facility or the equipment in it is damaged or destroyed, we may not be able to quickly or inexpensively replace our manufacturing capacity or replace it at all. In the event of a temporary or protracted loss of this facility or equipment, we might not be able to transfer manufacturing to another facility or to a third party. Even if we could transfer our manufacturing to another facility or a third party, the shift would likely be expensive and time-consuming, particularly since any new facility would need to comply with the necessary regulatory requirements and to be inspected and qualified. We would also need FDA approval before any products manufactured at that facility could be used for clinical or commercial supply. Such an event could delay our clinical trials or reduce our product sales.</w:t>
      </w:r>
    </w:p>
    <w:p>
      <w:pPr>
        <w:spacing w:after="0" w:line="166" w:lineRule="exact"/>
        <w:rPr>
          <w:sz w:val="20"/>
          <w:szCs w:val="20"/>
          <w:color w:val="auto"/>
        </w:rPr>
      </w:pPr>
    </w:p>
    <w:p>
      <w:pPr>
        <w:ind w:left="60" w:right="79" w:firstLine="441"/>
        <w:spacing w:after="0" w:line="296" w:lineRule="auto"/>
        <w:rPr>
          <w:sz w:val="20"/>
          <w:szCs w:val="20"/>
          <w:color w:val="auto"/>
        </w:rPr>
      </w:pPr>
      <w:r>
        <w:rPr>
          <w:rFonts w:ascii="Arial" w:cs="Arial" w:eastAsia="Arial" w:hAnsi="Arial"/>
          <w:sz w:val="16"/>
          <w:szCs w:val="16"/>
          <w:color w:val="auto"/>
        </w:rPr>
        <w:t>Currently, we maintain insurance coverage against damage to our property and equipment in the amount of up to $27.5 million and to cover business interruption and research and development restoration expenses in the amount of up to $2.8 million. However, our insurance coverage may not reimburse us, or may not be sufficient to reimburse us, for any expenses or losses we may suffer. We may be unable to meet our requirements for DEXTENZA, ReSure Sealant, or any of our product candidates if there were a catastrophic event or failure of our current manufacturing facility or processes.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59" w:lineRule="auto"/>
        <w:rPr>
          <w:sz w:val="20"/>
          <w:szCs w:val="20"/>
          <w:color w:val="auto"/>
        </w:rPr>
      </w:pPr>
      <w:r>
        <w:rPr>
          <w:rFonts w:ascii="Arial" w:cs="Arial" w:eastAsia="Arial" w:hAnsi="Arial"/>
          <w:sz w:val="18"/>
          <w:szCs w:val="18"/>
          <w:b w:val="1"/>
          <w:bCs w:val="1"/>
          <w:i w:val="1"/>
          <w:iCs w:val="1"/>
          <w:color w:val="auto"/>
        </w:rPr>
        <w:t>We expect to continue to contract with third parties for at least some aspects of the production of our products and product candidates. This increases the risk that we will not have sufficient quantities of our products or product candidates or such quantities at an acceptable cost, which could delay, prevent or impair our development or commercialization efforts.</w:t>
      </w:r>
    </w:p>
    <w:p>
      <w:pPr>
        <w:spacing w:after="0" w:line="187" w:lineRule="exact"/>
        <w:rPr>
          <w:sz w:val="20"/>
          <w:szCs w:val="20"/>
          <w:color w:val="auto"/>
        </w:rPr>
      </w:pPr>
    </w:p>
    <w:p>
      <w:pPr>
        <w:ind w:left="60" w:right="119" w:firstLine="441"/>
        <w:spacing w:after="0" w:line="254" w:lineRule="auto"/>
        <w:rPr>
          <w:sz w:val="20"/>
          <w:szCs w:val="20"/>
          <w:color w:val="auto"/>
        </w:rPr>
      </w:pPr>
      <w:r>
        <w:rPr>
          <w:rFonts w:ascii="Arial" w:cs="Arial" w:eastAsia="Arial" w:hAnsi="Arial"/>
          <w:sz w:val="18"/>
          <w:szCs w:val="18"/>
          <w:color w:val="auto"/>
        </w:rPr>
        <w:t>We currently rely on third parties for some aspects of the production of DEXTENZA, ReSure Sealant and our product candidates for commercialization and preclinical testing and clinical trials, including our supply of the active pharmaceutical ingredient drug substance PEG, the molecule that forms the basis of our hydrogels, and other raw materials and for sterilization of the finished product. In addition, while we believe that our existing manufacturing facility, or additional facilities that we will be able to build, will be sufficient to meet our requirements for manufacturing DEXTENZA, ReSure Sealant and any of our product candidates for which we obtain marketing approval, we may in the future need to rely on third-party manufacturers for some aspects of the manufacture of our products or product candidates.</w:t>
      </w:r>
    </w:p>
    <w:p>
      <w:pPr>
        <w:spacing w:after="0" w:line="192" w:lineRule="exact"/>
        <w:rPr>
          <w:sz w:val="20"/>
          <w:szCs w:val="20"/>
          <w:color w:val="auto"/>
        </w:rPr>
      </w:pPr>
    </w:p>
    <w:p>
      <w:pPr>
        <w:ind w:left="60" w:right="139" w:firstLine="441"/>
        <w:spacing w:after="0" w:line="288" w:lineRule="auto"/>
        <w:rPr>
          <w:sz w:val="20"/>
          <w:szCs w:val="20"/>
          <w:color w:val="auto"/>
        </w:rPr>
      </w:pPr>
      <w:r>
        <w:rPr>
          <w:rFonts w:ascii="Arial" w:cs="Arial" w:eastAsia="Arial" w:hAnsi="Arial"/>
          <w:sz w:val="16"/>
          <w:szCs w:val="16"/>
          <w:color w:val="auto"/>
        </w:rPr>
        <w:t>We do not have any long-term supply agreements in place for the clinical or commercial supply of any drug substances or raw materials for DEXTENZA, ReSure Sealant or any of our product candidates. We purchase drug substance and raw materials, including the chemical constituents for our hydrogel, from independent suppliers on a purchase order basis. Any performance failure or refusal to supply drug substance or raw materials on the part of our existing or future suppliers could delay clinical development, marketing approval or commercialization of our products. If our current suppliers do not perform as we expect, we may be required to replace one or more of these suppliers. In particular, we depend on a sole source supplier for the supply of our PEG. This sole source supplier may be unwilling or unable to supply PEG to us reliably, continuously and at the levels we anticipate or are required by the market. Although we believe that there are a number of potential long-term replacements to our suppliers, including our PEG supplier, we may incur added costs and delays in identifying and qualifying any such replacements.</w:t>
      </w:r>
    </w:p>
    <w:p>
      <w:pPr>
        <w:spacing w:after="0" w:line="168" w:lineRule="exact"/>
        <w:rPr>
          <w:sz w:val="20"/>
          <w:szCs w:val="20"/>
          <w:color w:val="auto"/>
        </w:rPr>
      </w:pPr>
    </w:p>
    <w:p>
      <w:pPr>
        <w:ind w:left="60" w:right="399" w:firstLine="441"/>
        <w:spacing w:after="0" w:line="277" w:lineRule="auto"/>
        <w:rPr>
          <w:sz w:val="20"/>
          <w:szCs w:val="20"/>
          <w:color w:val="auto"/>
        </w:rPr>
      </w:pPr>
      <w:r>
        <w:rPr>
          <w:rFonts w:ascii="Arial" w:cs="Arial" w:eastAsia="Arial" w:hAnsi="Arial"/>
          <w:sz w:val="18"/>
          <w:szCs w:val="18"/>
          <w:color w:val="auto"/>
        </w:rPr>
        <w:t>Reliance on third parties for aspects of the supply of our products and product candidates entails additional risks, including:</w:t>
      </w:r>
    </w:p>
    <w:p>
      <w:pPr>
        <w:spacing w:after="0" w:line="170" w:lineRule="exact"/>
        <w:rPr>
          <w:sz w:val="20"/>
          <w:szCs w:val="20"/>
          <w:color w:val="auto"/>
        </w:rPr>
      </w:pPr>
    </w:p>
    <w:p>
      <w:pPr>
        <w:ind w:left="840" w:hanging="331"/>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w:t>
      </w:r>
    </w:p>
    <w:p>
      <w:pPr>
        <w:spacing w:after="0" w:line="236" w:lineRule="exact"/>
        <w:rPr>
          <w:rFonts w:ascii="Arial" w:cs="Arial" w:eastAsia="Arial" w:hAnsi="Arial"/>
          <w:sz w:val="17"/>
          <w:szCs w:val="17"/>
          <w:color w:val="auto"/>
        </w:rPr>
      </w:pPr>
    </w:p>
    <w:p>
      <w:pPr>
        <w:ind w:left="840" w:hanging="331"/>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possible breach of an agreement by the third party; and</w:t>
      </w:r>
    </w:p>
    <w:p>
      <w:pPr>
        <w:spacing w:after="0" w:line="225" w:lineRule="exact"/>
        <w:rPr>
          <w:rFonts w:ascii="Arial" w:cs="Arial" w:eastAsia="Arial" w:hAnsi="Arial"/>
          <w:sz w:val="18"/>
          <w:szCs w:val="18"/>
          <w:color w:val="auto"/>
        </w:rPr>
      </w:pPr>
    </w:p>
    <w:p>
      <w:pPr>
        <w:ind w:left="840" w:right="99" w:hanging="331"/>
        <w:spacing w:after="0" w:line="277" w:lineRule="auto"/>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possible termination or nonrenewal of an agreement by the third party at a time that is costly or inconvenient for us.</w:t>
      </w:r>
    </w:p>
    <w:p>
      <w:pPr>
        <w:spacing w:after="0" w:line="170" w:lineRule="exact"/>
        <w:rPr>
          <w:sz w:val="20"/>
          <w:szCs w:val="20"/>
          <w:color w:val="auto"/>
        </w:rPr>
      </w:pPr>
    </w:p>
    <w:p>
      <w:pPr>
        <w:ind w:left="60" w:right="99" w:firstLine="441"/>
        <w:spacing w:after="0" w:line="273" w:lineRule="auto"/>
        <w:rPr>
          <w:sz w:val="20"/>
          <w:szCs w:val="20"/>
          <w:color w:val="auto"/>
        </w:rPr>
      </w:pPr>
      <w:r>
        <w:rPr>
          <w:rFonts w:ascii="Arial" w:cs="Arial" w:eastAsia="Arial" w:hAnsi="Arial"/>
          <w:sz w:val="17"/>
          <w:szCs w:val="17"/>
          <w:color w:val="auto"/>
        </w:rPr>
        <w:t>Third-party suppliers or manufacturers may not be able to comply with quality assurance standards, cGMP regulations or similar regulatory requirements outside the United States. Our failure, or the failure of our third parties,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w:t>
      </w:r>
    </w:p>
    <w:p>
      <w:pPr>
        <w:spacing w:after="0" w:line="178" w:lineRule="exact"/>
        <w:rPr>
          <w:sz w:val="20"/>
          <w:szCs w:val="20"/>
          <w:color w:val="auto"/>
        </w:rPr>
      </w:pPr>
    </w:p>
    <w:p>
      <w:pPr>
        <w:ind w:left="60" w:right="79" w:firstLine="441"/>
        <w:spacing w:after="0" w:line="263" w:lineRule="auto"/>
        <w:rPr>
          <w:sz w:val="20"/>
          <w:szCs w:val="20"/>
          <w:color w:val="auto"/>
        </w:rPr>
      </w:pPr>
      <w:r>
        <w:rPr>
          <w:rFonts w:ascii="Arial" w:cs="Arial" w:eastAsia="Arial" w:hAnsi="Arial"/>
          <w:sz w:val="18"/>
          <w:szCs w:val="18"/>
          <w:color w:val="auto"/>
        </w:rPr>
        <w:t>Our potential future dependence upon others for the manufacture of our products and product candidates may adversely affect our future profit margins and our ability to commercialize any products that receive regulatory approval on a timely and competitive basis.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w:t>
      </w:r>
    </w:p>
    <w:p>
      <w:pPr>
        <w:spacing w:after="0" w:line="229"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b w:val="1"/>
          <w:bCs w:val="1"/>
          <w:i w:val="1"/>
          <w:iCs w:val="1"/>
          <w:color w:val="auto"/>
        </w:rPr>
        <w:t>Even though DEXTENZA and ReSure Sealant have received marketing approval from the FDA and even if any of our product candidates receives marketing approval, any of these products may fail to achieve the degree of market acceptance by physicians, patients, third-party payors and others in the medical community necessary for commercial success, and the market opportunity for these products may be smaller than we estimate.</w:t>
      </w:r>
    </w:p>
    <w:p>
      <w:pPr>
        <w:spacing w:after="0" w:line="157" w:lineRule="exact"/>
        <w:rPr>
          <w:sz w:val="20"/>
          <w:szCs w:val="20"/>
          <w:color w:val="auto"/>
        </w:rPr>
      </w:pPr>
    </w:p>
    <w:p>
      <w:pPr>
        <w:ind w:left="60" w:right="379" w:firstLine="441"/>
        <w:spacing w:after="0" w:line="342" w:lineRule="auto"/>
        <w:rPr>
          <w:sz w:val="20"/>
          <w:szCs w:val="20"/>
          <w:color w:val="auto"/>
        </w:rPr>
      </w:pPr>
      <w:r>
        <w:rPr>
          <w:rFonts w:ascii="Arial" w:cs="Arial" w:eastAsia="Arial" w:hAnsi="Arial"/>
          <w:sz w:val="16"/>
          <w:szCs w:val="16"/>
          <w:color w:val="auto"/>
        </w:rPr>
        <w:t>DEXTENZA, ReSure Sealant, or any of our product candidates that receives marketing approval may fail to gain market acceptance by physicians, patients, third-party payors and others in the medical community. We commercially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launched ReSure Sealant in the first quarter of 2014 and DEXTENZA for the treatment of post-surgical ocular inflammation and pain in July 2019 and cannot yet accurately predict whether either product will gain market acceptance and become commercially successful. For example, we previously commenced commercialization in Europe of an earlier version of ReSure Sealant that was approved and marketed as an ocular bandage. We recognized $0.1 million of revenue from the commercialization of this product through 2012. However, we ceased our commercialization of the product in 2012 to focus on the ongoing clinical development of ReSure Sealant pursuant to FDA requirements. If our products do not achieve an adequate level of acceptance, we may not generate significant product revenue and we may not become profitable.</w:t>
      </w:r>
    </w:p>
    <w:p>
      <w:pPr>
        <w:spacing w:after="0" w:line="192" w:lineRule="exact"/>
        <w:rPr>
          <w:sz w:val="20"/>
          <w:szCs w:val="20"/>
          <w:color w:val="auto"/>
        </w:rPr>
      </w:pPr>
    </w:p>
    <w:p>
      <w:pPr>
        <w:ind w:left="60" w:right="399" w:firstLine="441"/>
        <w:spacing w:after="0" w:line="277" w:lineRule="auto"/>
        <w:rPr>
          <w:sz w:val="20"/>
          <w:szCs w:val="20"/>
          <w:color w:val="auto"/>
        </w:rPr>
      </w:pPr>
      <w:r>
        <w:rPr>
          <w:rFonts w:ascii="Arial" w:cs="Arial" w:eastAsia="Arial" w:hAnsi="Arial"/>
          <w:sz w:val="18"/>
          <w:szCs w:val="18"/>
          <w:color w:val="auto"/>
        </w:rPr>
        <w:t>The degree of market acceptance of DEXTENZA, ReSure Sealant, or any product candidate for which we obtain marketing approval will depend on a number of factors, including:</w:t>
      </w:r>
    </w:p>
    <w:p>
      <w:pPr>
        <w:spacing w:after="0" w:line="170" w:lineRule="exact"/>
        <w:rPr>
          <w:sz w:val="20"/>
          <w:szCs w:val="20"/>
          <w:color w:val="auto"/>
        </w:rPr>
      </w:pPr>
    </w:p>
    <w:p>
      <w:pPr>
        <w:ind w:left="840" w:hanging="331"/>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225" w:lineRule="exact"/>
        <w:rPr>
          <w:rFonts w:ascii="Arial" w:cs="Arial" w:eastAsia="Arial" w:hAnsi="Arial"/>
          <w:sz w:val="18"/>
          <w:szCs w:val="18"/>
          <w:color w:val="auto"/>
        </w:rPr>
      </w:pPr>
    </w:p>
    <w:p>
      <w:pPr>
        <w:ind w:left="840" w:right="859" w:hanging="331"/>
        <w:spacing w:after="0" w:line="277" w:lineRule="auto"/>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 particularly in light of the lower cost of alternative treatments;</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225" w:lineRule="exact"/>
        <w:rPr>
          <w:rFonts w:ascii="Arial" w:cs="Arial" w:eastAsia="Arial" w:hAnsi="Arial"/>
          <w:sz w:val="18"/>
          <w:szCs w:val="18"/>
          <w:color w:val="auto"/>
        </w:rPr>
      </w:pPr>
    </w:p>
    <w:p>
      <w:pPr>
        <w:ind w:left="840" w:right="339" w:hanging="331"/>
        <w:spacing w:after="0" w:line="308" w:lineRule="auto"/>
        <w:tabs>
          <w:tab w:leader="none" w:pos="8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 including the intracanalicular insert retention rate for our intracanalicular insert products and product candidates;</w:t>
      </w:r>
    </w:p>
    <w:p>
      <w:pPr>
        <w:spacing w:after="0" w:line="146" w:lineRule="exact"/>
        <w:rPr>
          <w:rFonts w:ascii="Arial" w:cs="Arial" w:eastAsia="Arial" w:hAnsi="Arial"/>
          <w:sz w:val="17"/>
          <w:szCs w:val="17"/>
          <w:color w:val="auto"/>
        </w:rPr>
      </w:pPr>
    </w:p>
    <w:p>
      <w:pPr>
        <w:ind w:left="840" w:right="759" w:hanging="331"/>
        <w:spacing w:after="0" w:line="277" w:lineRule="auto"/>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strength of our marketing and distribution support;</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timing of market introduction of competitive products;</w:t>
      </w:r>
    </w:p>
    <w:p>
      <w:pPr>
        <w:spacing w:after="0" w:line="225" w:lineRule="exact"/>
        <w:rPr>
          <w:rFonts w:ascii="Arial" w:cs="Arial" w:eastAsia="Arial" w:hAnsi="Arial"/>
          <w:sz w:val="18"/>
          <w:szCs w:val="18"/>
          <w:color w:val="auto"/>
        </w:rPr>
      </w:pPr>
    </w:p>
    <w:p>
      <w:pPr>
        <w:ind w:left="840" w:right="179" w:hanging="331"/>
        <w:spacing w:after="0" w:line="308" w:lineRule="auto"/>
        <w:tabs>
          <w:tab w:leader="none" w:pos="8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 and, for DEXTENZA and ReSure Sealant, the lack of separate reimbursement when used as part of a cataract surgery procedure;</w:t>
      </w:r>
    </w:p>
    <w:p>
      <w:pPr>
        <w:spacing w:after="0" w:line="146" w:lineRule="exact"/>
        <w:rPr>
          <w:rFonts w:ascii="Arial" w:cs="Arial" w:eastAsia="Arial" w:hAnsi="Arial"/>
          <w:sz w:val="17"/>
          <w:szCs w:val="17"/>
          <w:color w:val="auto"/>
        </w:rPr>
      </w:pPr>
    </w:p>
    <w:p>
      <w:pPr>
        <w:ind w:left="840" w:hanging="331"/>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25" w:lineRule="exact"/>
        <w:rPr>
          <w:sz w:val="20"/>
          <w:szCs w:val="20"/>
          <w:color w:val="auto"/>
        </w:rPr>
      </w:pPr>
    </w:p>
    <w:p>
      <w:pPr>
        <w:ind w:left="60" w:right="139" w:firstLine="441"/>
        <w:spacing w:after="0" w:line="270" w:lineRule="auto"/>
        <w:rPr>
          <w:sz w:val="20"/>
          <w:szCs w:val="20"/>
          <w:color w:val="auto"/>
        </w:rPr>
      </w:pPr>
      <w:r>
        <w:rPr>
          <w:rFonts w:ascii="Arial" w:cs="Arial" w:eastAsia="Arial" w:hAnsi="Arial"/>
          <w:sz w:val="17"/>
          <w:szCs w:val="17"/>
          <w:color w:val="auto"/>
        </w:rPr>
        <w:t>For example, because we have not conducted any clinical trials to date comparing the effectiveness of DEXTENZA directly to currently approved alternative treatments for post-surgical ocular inflammation and pain following cataract surgery, it is possible that the market acceptance of DEXTENZA could be less than if we had conducted such a trial. We also have not conducted a clinical trial directly comparing the effectiveness of DEXTENZA to currently approved alternative treatments for ocular itching associated with allergic conjunctivitis. Although market research we have commissioned indicates that a majority of ophthalmologists believe DEXTENZA could become a new standard of care for post-surgical ocular inflammation and pain due to its potential ability to improve compliance with limited toxicity concerns, market acceptance for DEXTENZA could be substantially less than such research indicates, and we may not be able to achieve the market share we anticipate.</w:t>
      </w:r>
    </w:p>
    <w:p>
      <w:pPr>
        <w:spacing w:after="0" w:line="181" w:lineRule="exact"/>
        <w:rPr>
          <w:sz w:val="20"/>
          <w:szCs w:val="20"/>
          <w:color w:val="auto"/>
        </w:rPr>
      </w:pPr>
    </w:p>
    <w:p>
      <w:pPr>
        <w:ind w:left="60" w:right="79" w:firstLine="441"/>
        <w:spacing w:after="0" w:line="271" w:lineRule="auto"/>
        <w:rPr>
          <w:sz w:val="20"/>
          <w:szCs w:val="20"/>
          <w:color w:val="auto"/>
        </w:rPr>
      </w:pPr>
      <w:r>
        <w:rPr>
          <w:rFonts w:ascii="Arial" w:cs="Arial" w:eastAsia="Arial" w:hAnsi="Arial"/>
          <w:sz w:val="17"/>
          <w:szCs w:val="17"/>
          <w:color w:val="auto"/>
        </w:rPr>
        <w:t>Our assessment of the potential market opportunity for DEXTENZA, ReSure Sealant and our product candidates is based on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If the actual market for DEXTENZA, ReSure Sealant or any of our product candidates is smaller than we expect, our product revenue may be limited and it may be more difficult for us to achieve or maintain profitability.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81" w:lineRule="auto"/>
        <w:rPr>
          <w:sz w:val="20"/>
          <w:szCs w:val="20"/>
          <w:color w:val="auto"/>
        </w:rPr>
      </w:pPr>
      <w:r>
        <w:rPr>
          <w:rFonts w:ascii="Arial" w:cs="Arial" w:eastAsia="Arial" w:hAnsi="Arial"/>
          <w:sz w:val="15"/>
          <w:szCs w:val="15"/>
          <w:b w:val="1"/>
          <w:bCs w:val="1"/>
          <w:i w:val="1"/>
          <w:iCs w:val="1"/>
          <w:color w:val="auto"/>
        </w:rPr>
        <w:t>If we are unable to establish and maintain adequate sales, marketing and distribution capabilities, we may not be successful in commercializing DEXTENZA, ReSure Sealant, or any product candidates if and when they are approved.</w:t>
      </w:r>
    </w:p>
    <w:p>
      <w:pPr>
        <w:spacing w:after="0" w:line="100" w:lineRule="exact"/>
        <w:rPr>
          <w:sz w:val="20"/>
          <w:szCs w:val="20"/>
          <w:color w:val="auto"/>
        </w:rPr>
      </w:pPr>
    </w:p>
    <w:p>
      <w:pPr>
        <w:ind w:left="60" w:right="119" w:firstLine="441"/>
        <w:spacing w:after="0" w:line="296" w:lineRule="auto"/>
        <w:rPr>
          <w:sz w:val="20"/>
          <w:szCs w:val="20"/>
          <w:color w:val="auto"/>
        </w:rPr>
      </w:pPr>
      <w:r>
        <w:rPr>
          <w:rFonts w:ascii="Arial" w:cs="Arial" w:eastAsia="Arial" w:hAnsi="Arial"/>
          <w:sz w:val="16"/>
          <w:szCs w:val="16"/>
          <w:color w:val="auto"/>
        </w:rPr>
        <w:t>We have limited experience in the sale, marketing and distribution of drug and device products. To achieve commercial success for DEXTENZA, ReSure Sealant, and any product candidate for which we obtain marketing approval, we will need to establish and maintain adequate sales, marketing and distribution capabilities, either ourselves or through collaborations or other arrangements with third parties. We have built our own highly targeted, key account sales force for DEXTENZA that focuses on ambulatory surgical centers responsible for the largest volumes of cataract surgery.</w:t>
      </w:r>
    </w:p>
    <w:p>
      <w:pPr>
        <w:spacing w:after="0" w:line="161" w:lineRule="exact"/>
        <w:rPr>
          <w:sz w:val="20"/>
          <w:szCs w:val="20"/>
          <w:color w:val="auto"/>
        </w:rPr>
      </w:pPr>
    </w:p>
    <w:p>
      <w:pPr>
        <w:ind w:left="60" w:right="99" w:firstLine="441"/>
        <w:spacing w:after="0" w:line="255" w:lineRule="auto"/>
        <w:rPr>
          <w:sz w:val="20"/>
          <w:szCs w:val="20"/>
          <w:color w:val="auto"/>
        </w:rPr>
      </w:pPr>
      <w:r>
        <w:rPr>
          <w:rFonts w:ascii="Arial" w:cs="Arial" w:eastAsia="Arial" w:hAnsi="Arial"/>
          <w:sz w:val="18"/>
          <w:szCs w:val="18"/>
          <w:color w:val="auto"/>
        </w:rPr>
        <w:t>If we decide to commercialize any of our products outside of the United States, we would expect to utilize a variety of collaboration, distribution and other marketing arrangements with one or more third parties to commercialize any product that receives marketing approval. We expect that our existing sales force will be able to effectively market and sell DEXTENZA for the treatment of ocular itching associated with allergic conjunctivitis, if our sNDA is approved. We also intend to rely on Regeneron to commercialize our extended-delivery hydrogel formulation in combination with Regeneron’s large molecule VEGF-targeting compounds.</w:t>
      </w:r>
    </w:p>
    <w:p>
      <w:pPr>
        <w:spacing w:after="0" w:line="192" w:lineRule="exact"/>
        <w:rPr>
          <w:sz w:val="20"/>
          <w:szCs w:val="20"/>
          <w:color w:val="auto"/>
        </w:rPr>
      </w:pPr>
    </w:p>
    <w:p>
      <w:pPr>
        <w:ind w:left="60" w:right="239" w:firstLine="441"/>
        <w:spacing w:after="0" w:line="289" w:lineRule="auto"/>
        <w:rPr>
          <w:sz w:val="20"/>
          <w:szCs w:val="20"/>
          <w:color w:val="auto"/>
        </w:rPr>
      </w:pPr>
      <w:r>
        <w:rPr>
          <w:rFonts w:ascii="Arial" w:cs="Arial" w:eastAsia="Arial" w:hAnsi="Arial"/>
          <w:sz w:val="16"/>
          <w:szCs w:val="16"/>
          <w:color w:val="auto"/>
        </w:rPr>
        <w:t>Because we have not historically evaluated whether to seek regulatory approval for any of our products or product candidates outside of the United States, pending potential receipt of regulatory approval for the applicable product candidate in the United States, at this time we cannot be certain when, if ever, we will recognize revenue from commercialization of our products or product candidates in any international markets. If we decide to commercialize our products outside of the United States, we expect to utilize a variety of types of collaboration, distribution and other marketing arrangements with one or more third parties to commercialize any product of ours that receives marketing approval. These may include independent distributors, pharmaceutical companies or our own direct sales organization. For example, we intend to rely on AffaMed to commercialize DEXTENZA and OTX-TIC, if approved for marketing, in specified jurisdictions in Asia in connection with our collaboration agreement with AffaMed.</w:t>
      </w:r>
    </w:p>
    <w:p>
      <w:pPr>
        <w:spacing w:after="0" w:line="166"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There are risks involved with both establishing our own sales, marketing and distribution capabilities and with entering into arrangements with third parties to perform these services. We may not be successful in entering into arrangements with third parties to sell, market and distribute our products or may be unable to do so on terms that are most beneficial to us. Such third parties may have interests that differ from ours. We likely will have little control over such third parties, and any of them may fail to devote the necessary resources and attention to market, sell and distribute our products effectively. Our product revenues and our profitability, if any, under third-party collaboration, distribution or other marketing arrangements, including our collaboration with Regeneron, may also be lower than if we were to sell, market and distribute a product ourselves. On the other hand, recruiting and training a sales force is expensive and time-consuming and could delay any product launch. If the commercial launch of any product or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factors that may inhibit our efforts to commercialize products on our own include:</w:t>
      </w:r>
    </w:p>
    <w:p>
      <w:pPr>
        <w:spacing w:after="0" w:line="225" w:lineRule="exact"/>
        <w:rPr>
          <w:sz w:val="20"/>
          <w:szCs w:val="20"/>
          <w:color w:val="auto"/>
        </w:rPr>
      </w:pPr>
    </w:p>
    <w:p>
      <w:pPr>
        <w:ind w:left="840" w:hanging="331"/>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25" w:lineRule="exact"/>
        <w:rPr>
          <w:rFonts w:ascii="Arial" w:cs="Arial" w:eastAsia="Arial" w:hAnsi="Arial"/>
          <w:sz w:val="18"/>
          <w:szCs w:val="18"/>
          <w:color w:val="auto"/>
        </w:rPr>
      </w:pPr>
    </w:p>
    <w:p>
      <w:pPr>
        <w:ind w:left="840" w:right="139" w:hanging="331"/>
        <w:spacing w:after="0" w:line="277" w:lineRule="auto"/>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lack of adequate number of physicians to use or prescribe our products;</w:t>
      </w:r>
    </w:p>
    <w:p>
      <w:pPr>
        <w:spacing w:after="0" w:line="170" w:lineRule="exact"/>
        <w:rPr>
          <w:rFonts w:ascii="Arial" w:cs="Arial" w:eastAsia="Arial" w:hAnsi="Arial"/>
          <w:sz w:val="18"/>
          <w:szCs w:val="18"/>
          <w:color w:val="auto"/>
        </w:rPr>
      </w:pPr>
    </w:p>
    <w:p>
      <w:pPr>
        <w:ind w:left="840" w:right="719" w:hanging="331"/>
        <w:spacing w:after="0" w:line="277" w:lineRule="auto"/>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237" w:lineRule="exact"/>
        <w:rPr>
          <w:sz w:val="20"/>
          <w:szCs w:val="20"/>
          <w:color w:val="auto"/>
        </w:rPr>
      </w:pPr>
    </w:p>
    <w:p>
      <w:pPr>
        <w:ind w:left="60" w:right="79" w:firstLine="441"/>
        <w:spacing w:after="0" w:line="263"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DEXTENZA, ReSure Sealant or any of our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left="60" w:right="119" w:firstLine="441"/>
        <w:spacing w:after="0" w:line="254" w:lineRule="auto"/>
        <w:rPr>
          <w:sz w:val="20"/>
          <w:szCs w:val="20"/>
          <w:color w:val="auto"/>
        </w:rPr>
      </w:pPr>
      <w:r>
        <w:rPr>
          <w:rFonts w:ascii="Arial" w:cs="Arial" w:eastAsia="Arial" w:hAnsi="Arial"/>
          <w:sz w:val="18"/>
          <w:szCs w:val="18"/>
          <w:color w:val="auto"/>
        </w:rPr>
        <w:t>The development and commercialization of new drug and device products is highly competitive. We face competition with respect to our products and product candidates, and will face competition with respect to any other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5" w:lineRule="exact"/>
        <w:rPr>
          <w:sz w:val="20"/>
          <w:szCs w:val="20"/>
          <w:color w:val="auto"/>
        </w:rPr>
      </w:pPr>
    </w:p>
    <w:p>
      <w:pPr>
        <w:ind w:left="60" w:right="79" w:firstLine="441"/>
        <w:spacing w:after="0" w:line="289" w:lineRule="auto"/>
        <w:rPr>
          <w:sz w:val="20"/>
          <w:szCs w:val="20"/>
          <w:color w:val="auto"/>
        </w:rPr>
      </w:pPr>
      <w:r>
        <w:rPr>
          <w:rFonts w:ascii="Arial" w:cs="Arial" w:eastAsia="Arial" w:hAnsi="Arial"/>
          <w:sz w:val="16"/>
          <w:szCs w:val="16"/>
          <w:color w:val="auto"/>
        </w:rPr>
        <w:t>Our products and product candidates target markets that are already served by a variety of competing products based on a number of active pharmaceutical ingredients. Many of these existing products have achieved widespread acceptance among physicians, patients and payors for the treatment of ophthalmic diseases and conditions. In addition, many of these products are available on a generic basis, and our products and product candidates may not demonstrate sufficient additional clinical benefits to physicians, patients or payors to justify a higher price compared to generic products. In many cases, insurers or other third-party payors, particularly Medicare, encourage the use of generic products. Given that we are developing products based on FDA-approved therapeutic agents, our products and product candidates, if approved, will face competition from generic and branded versions of existing drugs based on the same active pharmaceutical ingredients that are administered in a different manner, typically through eye drops or intravitreal injections.</w:t>
      </w:r>
    </w:p>
    <w:p>
      <w:pPr>
        <w:spacing w:after="0" w:line="166" w:lineRule="exact"/>
        <w:rPr>
          <w:sz w:val="20"/>
          <w:szCs w:val="20"/>
          <w:color w:val="auto"/>
        </w:rPr>
      </w:pPr>
    </w:p>
    <w:p>
      <w:pPr>
        <w:ind w:left="60" w:right="179" w:firstLine="441"/>
        <w:spacing w:after="0" w:line="270" w:lineRule="auto"/>
        <w:rPr>
          <w:sz w:val="20"/>
          <w:szCs w:val="20"/>
          <w:color w:val="auto"/>
        </w:rPr>
      </w:pPr>
      <w:r>
        <w:rPr>
          <w:rFonts w:ascii="Arial" w:cs="Arial" w:eastAsia="Arial" w:hAnsi="Arial"/>
          <w:sz w:val="17"/>
          <w:szCs w:val="17"/>
          <w:color w:val="auto"/>
        </w:rPr>
        <w:t>Because the active pharmaceutical ingredients in our products and product candidates, other than those developed under the Regeneron collaboration, are available on a generic basis, or are soon to be available on a generic basis, competitors will be able to offer and sell products with the same active pharmaceutical ingredient as our products so long as these competitors do not infringe the patents that we license. For example, our licensed patents related to our intracanalicular insert products and product candidates largely relate to the hydrogel composition of the intracanalicular inserts and certain drug-release features of the inserts. As such, if a third party were able to design around the formulation and process patents that we license and create a different formulation using a different production process not covered by our licensed patents or patent applications, we would likely be unable to prevent that third party from manufacturing and marketing its product.</w:t>
      </w:r>
    </w:p>
    <w:p>
      <w:pPr>
        <w:spacing w:after="0" w:line="181" w:lineRule="exact"/>
        <w:rPr>
          <w:sz w:val="20"/>
          <w:szCs w:val="20"/>
          <w:color w:val="auto"/>
        </w:rPr>
      </w:pPr>
    </w:p>
    <w:p>
      <w:pPr>
        <w:ind w:left="60" w:right="179" w:firstLine="441"/>
        <w:spacing w:after="0" w:line="271" w:lineRule="auto"/>
        <w:rPr>
          <w:sz w:val="20"/>
          <w:szCs w:val="20"/>
          <w:color w:val="auto"/>
        </w:rPr>
      </w:pPr>
      <w:r>
        <w:rPr>
          <w:rFonts w:ascii="Arial" w:cs="Arial" w:eastAsia="Arial" w:hAnsi="Arial"/>
          <w:sz w:val="17"/>
          <w:szCs w:val="17"/>
          <w:color w:val="auto"/>
        </w:rPr>
        <w:t>Icon Biosciences, Inc. received FDA approval of DEXYCU in February 2018. DEXYCU is an injection of dexamethasone into the anterior chamber of the eye to treat inflammation associated with cataract surgery. Other companies have also advanced into Phase 3 clinical development biodegradable, programmed-release drug delivery product candidates that could compete with our intracanalicular insert products and product candidates. ReSure Sealant is the first and only surgical sealant approved as a device for ophthalmic use in the United States, but will compete with sutures as an alternative method for closing ophthalmic wounds. Multiple companies, including our collaborator Regeneron, are exploring in early-stage development alternative means to deliver anti-VEGF and TKI products in an extended-delivery fashion to the back of the eye.</w:t>
      </w:r>
    </w:p>
    <w:p>
      <w:pPr>
        <w:spacing w:after="0" w:line="178" w:lineRule="exact"/>
        <w:rPr>
          <w:sz w:val="20"/>
          <w:szCs w:val="20"/>
          <w:color w:val="auto"/>
        </w:rPr>
      </w:pPr>
    </w:p>
    <w:p>
      <w:pPr>
        <w:ind w:left="60" w:right="159" w:firstLine="441"/>
        <w:spacing w:after="0" w:line="25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8" w:lineRule="exact"/>
        <w:rPr>
          <w:sz w:val="20"/>
          <w:szCs w:val="20"/>
          <w:color w:val="auto"/>
        </w:rPr>
      </w:pPr>
    </w:p>
    <w:p>
      <w:pPr>
        <w:ind w:left="60" w:right="239" w:firstLine="441"/>
        <w:spacing w:after="0" w:line="270"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DEXTENZA, ReSure Sealant and any product candidates for which we obtain marketing approval may become subject to unfavorable pricing regulations, third-party coverage or reimbursement practices or healthcare reform initiatives, which could harm our business.</w:t>
      </w:r>
    </w:p>
    <w:p>
      <w:pPr>
        <w:spacing w:after="0" w:line="184"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color w:val="auto"/>
        </w:rPr>
        <w:t>Our ability to commercialize DEXTENZA, ReSure Sealant or any product candidates that we may develop successfully will depend, in part, on the extent to which coverage and adequate reimbursement for these products and related treatments will be available from government healthcare programs, private health insurers, managed care plans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and device companies provide them with predetermined discounts from list prices and are challenging the prices charged for medical products. Coverage and reimbursement may not be available for DEXTENZA, ReSure Sealant or any other product that we commercialize and, even if they are available, the level of reimbursement may not be satisfactory.</w:t>
      </w:r>
    </w:p>
    <w:p>
      <w:pPr>
        <w:spacing w:after="0" w:line="182" w:lineRule="exact"/>
        <w:rPr>
          <w:sz w:val="20"/>
          <w:szCs w:val="20"/>
          <w:color w:val="auto"/>
        </w:rPr>
      </w:pPr>
    </w:p>
    <w:p>
      <w:pPr>
        <w:ind w:left="60" w:right="99" w:firstLine="441"/>
        <w:spacing w:after="0" w:line="293" w:lineRule="auto"/>
        <w:rPr>
          <w:sz w:val="20"/>
          <w:szCs w:val="20"/>
          <w:color w:val="auto"/>
        </w:rPr>
      </w:pPr>
      <w:r>
        <w:rPr>
          <w:rFonts w:ascii="Arial" w:cs="Arial" w:eastAsia="Arial" w:hAnsi="Arial"/>
          <w:sz w:val="16"/>
          <w:szCs w:val="16"/>
          <w:color w:val="auto"/>
        </w:rPr>
        <w:t>Inadequate reimbursement may adversely affect the demand for, or the price of, DEXTENZA, ReSure Sealant or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DEXTENZA, ReSure Sealant or any product candidates for which we obtain marketing approval.</w:t>
      </w:r>
    </w:p>
    <w:p>
      <w:pPr>
        <w:spacing w:after="0" w:line="164" w:lineRule="exact"/>
        <w:rPr>
          <w:sz w:val="20"/>
          <w:szCs w:val="20"/>
          <w:color w:val="auto"/>
        </w:rPr>
      </w:pPr>
    </w:p>
    <w:p>
      <w:pPr>
        <w:ind w:left="60" w:right="119" w:firstLine="441"/>
        <w:spacing w:after="0" w:line="286"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devices, and coverage may be more limited than the indications for which the drug is approved by the FDA or similar regulatory authorities outside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FDA-approved products that we develop would compromise our ability to generate revenues and become profitable.</w:t>
      </w:r>
    </w:p>
    <w:p>
      <w:pPr>
        <w:spacing w:after="0" w:line="174" w:lineRule="exact"/>
        <w:rPr>
          <w:sz w:val="20"/>
          <w:szCs w:val="20"/>
          <w:color w:val="auto"/>
        </w:rPr>
      </w:pPr>
    </w:p>
    <w:p>
      <w:pPr>
        <w:ind w:left="60" w:right="79" w:firstLine="441"/>
        <w:spacing w:after="0" w:line="283" w:lineRule="auto"/>
        <w:rPr>
          <w:sz w:val="20"/>
          <w:szCs w:val="20"/>
          <w:color w:val="auto"/>
        </w:rPr>
      </w:pPr>
      <w:r>
        <w:rPr>
          <w:rFonts w:ascii="Arial" w:cs="Arial" w:eastAsia="Arial" w:hAnsi="Arial"/>
          <w:sz w:val="16"/>
          <w:szCs w:val="16"/>
          <w:color w:val="auto"/>
        </w:rPr>
        <w:t>The regulations that govern marketing approvals, pricing, coverage and reimbursement for new drug and device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To obtain reimbursement or pricing approval in some countries, we may be required to conduct a clinical trial that compares the cost-effectiveness of our product or product candidate to other available</w:t>
      </w:r>
    </w:p>
    <w:p>
      <w:pPr>
        <w:spacing w:after="0" w:line="5"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therapies. Adverse pricing limitations may hinder our ability to recoup our investment in one or more products or product candidates, even if our product candidates obtain marketing approval.</w:t>
      </w:r>
    </w:p>
    <w:p>
      <w:pPr>
        <w:spacing w:after="0" w:line="185" w:lineRule="exact"/>
        <w:rPr>
          <w:sz w:val="20"/>
          <w:szCs w:val="20"/>
          <w:color w:val="auto"/>
        </w:rPr>
      </w:pPr>
    </w:p>
    <w:p>
      <w:pPr>
        <w:ind w:left="60" w:right="139" w:firstLine="441"/>
        <w:spacing w:after="0" w:line="273" w:lineRule="auto"/>
        <w:rPr>
          <w:sz w:val="20"/>
          <w:szCs w:val="20"/>
          <w:color w:val="auto"/>
        </w:rPr>
      </w:pPr>
      <w:r>
        <w:rPr>
          <w:rFonts w:ascii="Arial" w:cs="Arial" w:eastAsia="Arial" w:hAnsi="Arial"/>
          <w:sz w:val="17"/>
          <w:szCs w:val="17"/>
          <w:color w:val="auto"/>
        </w:rPr>
        <w:t>DEXTENZA, ReSure Sealant or any product candidate for which we obtain marketing approval in the United States or in other countries may not be considered medically reasonable and necessary for a specific indication, may not be considered cost-effective by third-party payors, coverage and an adequate level of reimbursement may not be available, and reimbursement policies of third-party payors may adversely affect our ability to sell our products and product candidates profitably. ReSure Sealant is not separately reimbursed when used as part of a cataract surgery procedure, which could limit the degree of market acceptance of this product by surgeons. DEXTENZA is currently</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considered a post-surgical product, in the same fashion as eye drops. However, if DEXTENZA were instead categorized as an inter-operative product, it would not be subject to separate reimbursement in ambulatory surgical centers and hospital out-patient departments, which could likewise limit its market acceptance. DEXTENZA is currently scheduled to lose transitional pass-through status in July 2022. If pass-through status were to lapse, DEXTENZA would no longer be reimbursed separately from the ophthalmic surgery and our ability to generate revenues from the sales of DEXTENZA to ambulatory surgical centers and hospital out-patient departments for the treatment of post-surgical ocular inflammation and pain would be adversely affected.</w:t>
      </w:r>
    </w:p>
    <w:p>
      <w:pPr>
        <w:spacing w:after="0" w:line="177" w:lineRule="exact"/>
        <w:rPr>
          <w:sz w:val="20"/>
          <w:szCs w:val="20"/>
          <w:color w:val="auto"/>
        </w:rPr>
      </w:pPr>
    </w:p>
    <w:p>
      <w:pPr>
        <w:ind w:left="60" w:right="99" w:firstLine="441"/>
        <w:spacing w:after="0" w:line="296" w:lineRule="auto"/>
        <w:rPr>
          <w:sz w:val="20"/>
          <w:szCs w:val="20"/>
          <w:color w:val="auto"/>
        </w:rPr>
      </w:pPr>
      <w:r>
        <w:rPr>
          <w:rFonts w:ascii="Arial" w:cs="Arial" w:eastAsia="Arial" w:hAnsi="Arial"/>
          <w:sz w:val="16"/>
          <w:szCs w:val="16"/>
          <w:color w:val="auto"/>
        </w:rPr>
        <w:t>A specific and permanent J-Code for ophthalmic inserts containing dexamethasone including DEXTENZA is in effect. Separately, a CPT procedure code has been established for the administration of drug-eluting intracanalicular inserts to facilitate reimbursement for physicians for the procedure of inserting DEXTENZA into the canaliculus. There are no assurances that we will be successful in maintaining reimbursement for DEXTENZA or of obtaining or maintaining reimbursement for any products or product candidates for which we might receive marketing approval in the future.</w:t>
      </w:r>
    </w:p>
    <w:p>
      <w:pPr>
        <w:spacing w:after="0" w:line="161"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develop.</w:t>
      </w:r>
    </w:p>
    <w:p>
      <w:pPr>
        <w:spacing w:after="0" w:line="170" w:lineRule="exact"/>
        <w:rPr>
          <w:sz w:val="20"/>
          <w:szCs w:val="20"/>
          <w:color w:val="auto"/>
        </w:rPr>
      </w:pPr>
    </w:p>
    <w:p>
      <w:pPr>
        <w:ind w:left="60" w:right="79" w:firstLine="441"/>
        <w:spacing w:after="0" w:line="257" w:lineRule="auto"/>
        <w:rPr>
          <w:sz w:val="20"/>
          <w:szCs w:val="20"/>
          <w:color w:val="auto"/>
        </w:rPr>
      </w:pPr>
      <w:r>
        <w:rPr>
          <w:rFonts w:ascii="Arial" w:cs="Arial" w:eastAsia="Arial" w:hAnsi="Arial"/>
          <w:sz w:val="18"/>
          <w:szCs w:val="18"/>
          <w:color w:val="auto"/>
        </w:rPr>
        <w:t>We face an inherent risk of product liability exposure related to the use of our product candidates that we develop in human clinical trials. We face an even greater risk for any products we develop and commercially sell, including DEXTENZA and ReSure Sealant. If we cannot successfully defend ourselves against claims that our product candidates or products caused injuries, we will incur substantial liabilities. Regardless of merit or eventual outcome, liability claims may result in:</w:t>
      </w:r>
    </w:p>
    <w:p>
      <w:pPr>
        <w:spacing w:after="0" w:line="188" w:lineRule="exact"/>
        <w:rPr>
          <w:sz w:val="20"/>
          <w:szCs w:val="20"/>
          <w:color w:val="auto"/>
        </w:rPr>
      </w:pPr>
    </w:p>
    <w:p>
      <w:pPr>
        <w:ind w:left="840" w:hanging="331"/>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develop;</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develop.</w:t>
      </w:r>
    </w:p>
    <w:p>
      <w:pPr>
        <w:spacing w:after="0" w:line="225" w:lineRule="exact"/>
        <w:rPr>
          <w:sz w:val="20"/>
          <w:szCs w:val="20"/>
          <w:color w:val="auto"/>
        </w:rPr>
      </w:pPr>
    </w:p>
    <w:p>
      <w:pPr>
        <w:ind w:left="60" w:right="99" w:firstLine="441"/>
        <w:spacing w:after="0" w:line="275" w:lineRule="auto"/>
        <w:rPr>
          <w:sz w:val="20"/>
          <w:szCs w:val="20"/>
          <w:color w:val="auto"/>
        </w:rPr>
      </w:pPr>
      <w:r>
        <w:rPr>
          <w:rFonts w:ascii="Arial" w:cs="Arial" w:eastAsia="Arial" w:hAnsi="Arial"/>
          <w:sz w:val="17"/>
          <w:szCs w:val="17"/>
          <w:color w:val="auto"/>
        </w:rPr>
        <w:t>We currently hold $10.0 million in U.S. product liability insurance coverage in the aggregate, with a per incident limit of $10.0 million and approximately $15.0 million in product liability insurance in another jurisdiction in which we operate, with a per incident liability limit of approximately $15.0 million. These policies may not be adequate to cover all liabilities that we may incur. We will need to increase our insurance coverage as we expand our clinical trials and our sales of DEXTENZA, ReSure Sealant and any product candidates for which we obtain marketing approval.</w:t>
      </w:r>
    </w:p>
    <w:p>
      <w:pPr>
        <w:spacing w:after="0" w:line="176" w:lineRule="exact"/>
        <w:rPr>
          <w:sz w:val="20"/>
          <w:szCs w:val="20"/>
          <w:color w:val="auto"/>
        </w:rPr>
      </w:pPr>
    </w:p>
    <w:p>
      <w:pPr>
        <w:ind w:left="60" w:right="139" w:firstLine="441"/>
        <w:spacing w:after="0" w:line="311" w:lineRule="auto"/>
        <w:rPr>
          <w:sz w:val="20"/>
          <w:szCs w:val="20"/>
          <w:color w:val="auto"/>
        </w:rPr>
      </w:pPr>
      <w:r>
        <w:rPr>
          <w:rFonts w:ascii="Arial" w:cs="Arial" w:eastAsia="Arial" w:hAnsi="Arial"/>
          <w:sz w:val="16"/>
          <w:szCs w:val="16"/>
          <w:color w:val="auto"/>
        </w:rPr>
        <w:t>We will need to further increase our insurance coverage if we commence commercialization of any of our product candidates for which we obtain marketing approval. Insurance coverage is increasingly expensive. We may not be able to maintain insurance coverage at a reasonable cost or in an amount adequate to satisfy any liability that may arise.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60" w:right="499"/>
        <w:spacing w:after="0" w:line="381" w:lineRule="auto"/>
        <w:rPr>
          <w:sz w:val="20"/>
          <w:szCs w:val="20"/>
          <w:color w:val="auto"/>
        </w:rPr>
      </w:pPr>
      <w:r>
        <w:rPr>
          <w:rFonts w:ascii="Arial" w:cs="Arial" w:eastAsia="Arial" w:hAnsi="Arial"/>
          <w:sz w:val="15"/>
          <w:szCs w:val="15"/>
          <w:b w:val="1"/>
          <w:bCs w:val="1"/>
          <w:i w:val="1"/>
          <w:iCs w:val="1"/>
          <w:color w:val="auto"/>
        </w:rPr>
        <w:t>We will depend heavily on our collaboration with Regeneron for the success of our extended-delivery hydrogel formulation in combination with Regeneron’s large molecule VEGF-targeting compounds. If Regeneron does not</w:t>
      </w:r>
    </w:p>
    <w:p>
      <w:pPr>
        <w:sectPr>
          <w:pgSz w:w="11900" w:h="16838" w:orient="portrait"/>
          <w:cols w:equalWidth="0" w:num="1">
            <w:col w:w="9019"/>
          </w:cols>
          <w:pgMar w:left="1440" w:top="517" w:right="1440" w:bottom="1440" w:gutter="0" w:footer="0" w:header="0"/>
        </w:sect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b w:val="1"/>
          <w:bCs w:val="1"/>
          <w:i w:val="1"/>
          <w:iCs w:val="1"/>
          <w:color w:val="auto"/>
        </w:rPr>
        <w:t>exercise its option, terminates our collaboration agreement or is unable to meet its contractual obligations, it could negatively impact our business.</w:t>
      </w:r>
    </w:p>
    <w:p>
      <w:pPr>
        <w:spacing w:after="0" w:line="170" w:lineRule="exact"/>
        <w:rPr>
          <w:sz w:val="20"/>
          <w:szCs w:val="20"/>
          <w:color w:val="auto"/>
        </w:rPr>
      </w:pPr>
    </w:p>
    <w:p>
      <w:pPr>
        <w:ind w:left="60" w:right="99" w:firstLine="441"/>
        <w:spacing w:after="0" w:line="273" w:lineRule="auto"/>
        <w:rPr>
          <w:sz w:val="20"/>
          <w:szCs w:val="20"/>
          <w:color w:val="auto"/>
        </w:rPr>
      </w:pPr>
      <w:r>
        <w:rPr>
          <w:rFonts w:ascii="Arial" w:cs="Arial" w:eastAsia="Arial" w:hAnsi="Arial"/>
          <w:sz w:val="17"/>
          <w:szCs w:val="17"/>
          <w:color w:val="auto"/>
        </w:rPr>
        <w:t>In October 2016, we entered into a strategic collaboration, option and license agreement with Regeneron for the development and potential commercialization of products containing our extended-delivery hydrogel formulation in combination with Regeneron’s large molecule VEGF-targeting compounds. We and Regeneron amended this agreement in May 2020 to, among other things, transition joint efforts under the collaboration to the research and development of an extended-delivery formulation of aflibercept to be delivered to the suprachoroidal space. We refer to the collaboration, option and license agreement, as amended to date, as the Regeneron Collaboration Agreement.</w:t>
      </w:r>
    </w:p>
    <w:p>
      <w:pPr>
        <w:spacing w:after="0" w:line="178" w:lineRule="exact"/>
        <w:rPr>
          <w:sz w:val="20"/>
          <w:szCs w:val="20"/>
          <w:color w:val="auto"/>
        </w:rPr>
      </w:pPr>
    </w:p>
    <w:p>
      <w:pPr>
        <w:ind w:left="60" w:right="119" w:firstLine="441"/>
        <w:spacing w:after="0" w:line="269" w:lineRule="auto"/>
        <w:rPr>
          <w:sz w:val="20"/>
          <w:szCs w:val="20"/>
          <w:color w:val="auto"/>
        </w:rPr>
      </w:pPr>
      <w:r>
        <w:rPr>
          <w:rFonts w:ascii="Arial" w:cs="Arial" w:eastAsia="Arial" w:hAnsi="Arial"/>
          <w:sz w:val="17"/>
          <w:szCs w:val="17"/>
          <w:color w:val="auto"/>
        </w:rPr>
        <w:t>Our ability to generate revenues from the Regeneron Collaboration Agreement will depend on our and Regeneron’s abilities to successfully perform the functions assigned to each of us under it. We did not receive any upfront payment under the Regeneron Collaboration Agreement. Regeneron has agreed to pay personnel and material costs for specified preclinical development activities under the collaboration, and Regeneron has an option to enter into an exclusive, worldwide license, with the right to sublicense, under our intellectual property to develop and commercialize products containing our extended-delivery hydrogel formulation in combination with Regeneron’s large molecule VEGF-targeting compounds. Regeneron has agreed to pay us $10 million upon exercise of the option. As amended, the option is now exclusive until May 8, 2022, twenty-four months from the effective date of the amendment. We are also entitled to receive under the terms of the Regeneron Collaboration Agreement specified development, regulatory and sales milestone payments, as well as royalty payments.</w:t>
      </w:r>
    </w:p>
    <w:p>
      <w:pPr>
        <w:spacing w:after="0" w:line="185" w:lineRule="exact"/>
        <w:rPr>
          <w:sz w:val="20"/>
          <w:szCs w:val="20"/>
          <w:color w:val="auto"/>
        </w:rPr>
      </w:pPr>
    </w:p>
    <w:p>
      <w:pPr>
        <w:ind w:left="60" w:right="99" w:firstLine="486"/>
        <w:spacing w:after="0" w:line="273" w:lineRule="auto"/>
        <w:rPr>
          <w:sz w:val="20"/>
          <w:szCs w:val="20"/>
          <w:color w:val="auto"/>
        </w:rPr>
      </w:pPr>
      <w:r>
        <w:rPr>
          <w:rFonts w:ascii="Arial" w:cs="Arial" w:eastAsia="Arial" w:hAnsi="Arial"/>
          <w:sz w:val="17"/>
          <w:szCs w:val="17"/>
          <w:color w:val="auto"/>
        </w:rPr>
        <w:t>If Regeneron exercises the option, the Regeneron Collaboration Agreement will expire on a licensed product-by-licensed product and country-by-country basis upon the expiration of the later of 10 years from the date of first commercial sale in such country or the expiration of all patent rights covering the licensed product in such country. Regeneron may terminate the Regeneron Collaboration Agreement at any time after exercise of the option upon 60 days’ prior written notice. Either party may, subject to a cure period, terminate the Regeneron Collaboration Agreement in the event of the other party’s uncured material breach, in addition to other specified termination rights.</w:t>
      </w:r>
    </w:p>
    <w:p>
      <w:pPr>
        <w:spacing w:after="0" w:line="178" w:lineRule="exact"/>
        <w:rPr>
          <w:sz w:val="20"/>
          <w:szCs w:val="20"/>
          <w:color w:val="auto"/>
        </w:rPr>
      </w:pPr>
    </w:p>
    <w:p>
      <w:pPr>
        <w:ind w:left="60" w:right="119" w:firstLine="441"/>
        <w:spacing w:after="0" w:line="288" w:lineRule="auto"/>
        <w:rPr>
          <w:sz w:val="20"/>
          <w:szCs w:val="20"/>
          <w:color w:val="auto"/>
        </w:rPr>
      </w:pPr>
      <w:r>
        <w:rPr>
          <w:rFonts w:ascii="Arial" w:cs="Arial" w:eastAsia="Arial" w:hAnsi="Arial"/>
          <w:sz w:val="16"/>
          <w:szCs w:val="16"/>
          <w:color w:val="auto"/>
        </w:rPr>
        <w:t>If we are unable to achieve the preclinical milestones set forth in the collaboration plan, Regeneron may not exercise the option, in which case we would not receive the $10 million payment in connection with such option and would have incurred significant development expenses. Even if Regeneron does exercise its option, we or Regeneron may not be successful in achieving the necessary preclinical, clinical, regulatory and sales milestones in connection with the collaboration. Further, if Regeneron were to breach or terminate the Regeneron Collaboration Agreement or if Regeneron elects not to exercise the option we granted it and not to proceed in the collaboration, we may not be able to obtain, or may be delayed in obtaining, marketing approvals for intravitreal implant product candidates developed pursuant to the Regeneron Collaboration Agreement and will not be able to, or may be delayed in our efforts to, successfully commercialize our intravitreal implant product candidates. We may not be able to seek and obtain a viable, alternative collaborator to partner with for the development and commercialization of the licensed products on similar terms or at all.</w:t>
      </w:r>
    </w:p>
    <w:p>
      <w:pPr>
        <w:spacing w:after="0" w:line="168"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b w:val="1"/>
          <w:bCs w:val="1"/>
          <w:i w:val="1"/>
          <w:iCs w:val="1"/>
          <w:color w:val="auto"/>
        </w:rPr>
        <w:t>We have entered into collaborations with third parties to develop certain product candidates, and in the future may enter into collaborations with third parties for the commercialization of DEXTENZA, ReSure Sealant or the development or commercialization of our product candidates. If our collaborations are not successful, we may not be able to capitalize on the market potential of these products or product candidates.</w:t>
      </w:r>
    </w:p>
    <w:p>
      <w:pPr>
        <w:spacing w:after="0" w:line="171"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We have in the past entered into collaboration agreements with third parties, including our collaborations with Regeneron and AffaMed, and expect to utilize a variety of types of collaboration, distribution and other marketing arrangements with third parties to commercialize DEXTENZA, ReSure Sealant, or any of our product candidates for which we obtain marketing approval in markets outside the United States. We also may enter into arrangements with third parties to perform these services in the United States if we do not establish our own sales, marketing and distribution capabilities in the United States for our products and product candidates or if we determine that such third-party arrangements are otherwise beneficial. We also may seek additional third-party collaborators for development and commercialization of other product candidates. Our likely collaborators for any sales, marketing, distribution, development, licensing or broader collaboration arrangements include large and mid-size pharmaceutical companies, regional and national pharmaceutical companies and biotechnology companies. Other than our collaborations with Regeneron and AffaMed, we are not currently party to any such arrangement. Our ability to generate revenues from</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these arrangements will depend on our collaborators’ abilities and efforts to successfully perform the functions assigned to them in these arrangements.</w:t>
      </w:r>
    </w:p>
    <w:p>
      <w:pPr>
        <w:spacing w:after="0" w:line="170" w:lineRule="exact"/>
        <w:rPr>
          <w:sz w:val="20"/>
          <w:szCs w:val="20"/>
          <w:color w:val="auto"/>
        </w:rPr>
      </w:pPr>
    </w:p>
    <w:p>
      <w:pPr>
        <w:ind w:left="60" w:right="299" w:firstLine="441"/>
        <w:spacing w:after="0" w:line="277" w:lineRule="auto"/>
        <w:rPr>
          <w:sz w:val="20"/>
          <w:szCs w:val="20"/>
          <w:color w:val="auto"/>
        </w:rPr>
      </w:pPr>
      <w:r>
        <w:rPr>
          <w:rFonts w:ascii="Arial" w:cs="Arial" w:eastAsia="Arial" w:hAnsi="Arial"/>
          <w:sz w:val="18"/>
          <w:szCs w:val="18"/>
          <w:color w:val="auto"/>
        </w:rPr>
        <w:t>Our collaborations with Regeneron and AffaMed pose, and any future collaborations likely will pose, a number of risks including the following:</w:t>
      </w:r>
    </w:p>
    <w:p>
      <w:pPr>
        <w:spacing w:after="0" w:line="170" w:lineRule="exact"/>
        <w:rPr>
          <w:sz w:val="20"/>
          <w:szCs w:val="20"/>
          <w:color w:val="auto"/>
        </w:rPr>
      </w:pPr>
    </w:p>
    <w:p>
      <w:pPr>
        <w:ind w:left="840" w:right="139" w:hanging="331"/>
        <w:spacing w:after="0" w:line="277" w:lineRule="auto"/>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840" w:right="199" w:hanging="331"/>
        <w:spacing w:after="0" w:line="301" w:lineRule="auto"/>
        <w:tabs>
          <w:tab w:leader="none" w:pos="8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product candidates that receive marketing approval or may elect not to continue or renew development or commercialization programs based on results of clinical trials or other studies, changes in the collaborators’ strategic focus or available funding, or external factors, such as an acquisition, that divert resources or create competing priorities;</w:t>
      </w:r>
    </w:p>
    <w:p>
      <w:pPr>
        <w:spacing w:after="0" w:line="157" w:lineRule="exact"/>
        <w:rPr>
          <w:rFonts w:ascii="Arial" w:cs="Arial" w:eastAsia="Arial" w:hAnsi="Arial"/>
          <w:sz w:val="16"/>
          <w:szCs w:val="16"/>
          <w:color w:val="auto"/>
        </w:rPr>
      </w:pPr>
    </w:p>
    <w:p>
      <w:pPr>
        <w:ind w:left="840" w:right="339" w:hanging="331"/>
        <w:spacing w:after="0" w:line="263" w:lineRule="auto"/>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jc w:val="both"/>
        <w:ind w:left="840" w:right="439" w:hanging="331"/>
        <w:spacing w:after="0" w:line="259" w:lineRule="auto"/>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6" w:lineRule="exact"/>
        <w:rPr>
          <w:rFonts w:ascii="Arial" w:cs="Arial" w:eastAsia="Arial" w:hAnsi="Arial"/>
          <w:sz w:val="18"/>
          <w:szCs w:val="18"/>
          <w:color w:val="auto"/>
        </w:rPr>
      </w:pPr>
    </w:p>
    <w:p>
      <w:pPr>
        <w:ind w:left="840" w:right="179" w:hanging="331"/>
        <w:spacing w:after="0" w:line="263" w:lineRule="auto"/>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83" w:lineRule="exact"/>
        <w:rPr>
          <w:rFonts w:ascii="Arial" w:cs="Arial" w:eastAsia="Arial" w:hAnsi="Arial"/>
          <w:sz w:val="18"/>
          <w:szCs w:val="18"/>
          <w:color w:val="auto"/>
        </w:rPr>
      </w:pPr>
    </w:p>
    <w:p>
      <w:pPr>
        <w:ind w:left="840" w:right="339" w:hanging="331"/>
        <w:spacing w:after="0" w:line="263" w:lineRule="auto"/>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83" w:lineRule="exact"/>
        <w:rPr>
          <w:rFonts w:ascii="Arial" w:cs="Arial" w:eastAsia="Arial" w:hAnsi="Arial"/>
          <w:sz w:val="18"/>
          <w:szCs w:val="18"/>
          <w:color w:val="auto"/>
        </w:rPr>
      </w:pPr>
    </w:p>
    <w:p>
      <w:pPr>
        <w:ind w:left="840" w:right="79" w:hanging="331"/>
        <w:spacing w:after="0" w:line="275" w:lineRule="auto"/>
        <w:tabs>
          <w:tab w:leader="none" w:pos="8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 of the research, development or commercialization of products or product candidates, might lead to additional responsibilities for us with respect to products or product candidates, or might result in litigation or arbitration, any of which would divert management attention and resources, be time-consuming and expensive;</w:t>
      </w:r>
    </w:p>
    <w:p>
      <w:pPr>
        <w:spacing w:after="0" w:line="176" w:lineRule="exact"/>
        <w:rPr>
          <w:rFonts w:ascii="Arial" w:cs="Arial" w:eastAsia="Arial" w:hAnsi="Arial"/>
          <w:sz w:val="17"/>
          <w:szCs w:val="17"/>
          <w:color w:val="auto"/>
        </w:rPr>
      </w:pPr>
    </w:p>
    <w:p>
      <w:pPr>
        <w:jc w:val="both"/>
        <w:ind w:left="840" w:right="299" w:hanging="331"/>
        <w:spacing w:after="0" w:line="263" w:lineRule="auto"/>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83" w:lineRule="exact"/>
        <w:rPr>
          <w:rFonts w:ascii="Arial" w:cs="Arial" w:eastAsia="Arial" w:hAnsi="Arial"/>
          <w:sz w:val="18"/>
          <w:szCs w:val="18"/>
          <w:color w:val="auto"/>
        </w:rPr>
      </w:pPr>
    </w:p>
    <w:p>
      <w:pPr>
        <w:ind w:left="840" w:right="139" w:hanging="331"/>
        <w:spacing w:after="0" w:line="277" w:lineRule="auto"/>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170" w:lineRule="exact"/>
        <w:rPr>
          <w:rFonts w:ascii="Arial" w:cs="Arial" w:eastAsia="Arial" w:hAnsi="Arial"/>
          <w:sz w:val="18"/>
          <w:szCs w:val="18"/>
          <w:color w:val="auto"/>
        </w:rPr>
      </w:pPr>
    </w:p>
    <w:p>
      <w:pPr>
        <w:jc w:val="both"/>
        <w:ind w:left="840" w:right="659" w:hanging="331"/>
        <w:spacing w:after="0" w:line="263" w:lineRule="auto"/>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products or product candidates.</w:t>
      </w:r>
    </w:p>
    <w:p>
      <w:pPr>
        <w:spacing w:after="0" w:line="184" w:lineRule="exact"/>
        <w:rPr>
          <w:sz w:val="20"/>
          <w:szCs w:val="20"/>
          <w:color w:val="auto"/>
        </w:rPr>
      </w:pPr>
    </w:p>
    <w:p>
      <w:pPr>
        <w:ind w:left="60" w:right="179" w:firstLine="441"/>
        <w:spacing w:after="0" w:line="296" w:lineRule="auto"/>
        <w:rPr>
          <w:sz w:val="20"/>
          <w:szCs w:val="20"/>
          <w:color w:val="auto"/>
        </w:rPr>
      </w:pPr>
      <w:r>
        <w:rPr>
          <w:rFonts w:ascii="Arial" w:cs="Arial" w:eastAsia="Arial" w:hAnsi="Arial"/>
          <w:sz w:val="16"/>
          <w:szCs w:val="16"/>
          <w:color w:val="auto"/>
        </w:rPr>
        <w:t>Collaboration agreements may not lead to the development or commercialization of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products or product candidates could be delayed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and we may need additional resources to develop our products or product candidates. All of the risks relating to product development, regulatory approval and commercialization described in this prospectus supplement also apply to the activities of our collaborators.</w:t>
      </w:r>
    </w:p>
    <w:p>
      <w:pPr>
        <w:spacing w:after="0" w:line="184" w:lineRule="exact"/>
        <w:rPr>
          <w:sz w:val="20"/>
          <w:szCs w:val="20"/>
          <w:color w:val="auto"/>
        </w:rPr>
      </w:pPr>
    </w:p>
    <w:p>
      <w:pPr>
        <w:ind w:left="60" w:right="79" w:firstLine="441"/>
        <w:spacing w:after="0" w:line="279" w:lineRule="auto"/>
        <w:rPr>
          <w:sz w:val="20"/>
          <w:szCs w:val="20"/>
          <w:color w:val="auto"/>
        </w:rPr>
      </w:pPr>
      <w:r>
        <w:rPr>
          <w:rFonts w:ascii="Arial" w:cs="Arial" w:eastAsia="Arial" w:hAnsi="Arial"/>
          <w:sz w:val="17"/>
          <w:szCs w:val="17"/>
          <w:color w:val="auto"/>
        </w:rPr>
        <w:t>Additionally, subject to its contractual obligations to us, if a collaborator of ours were to be involved in a business combination, it might deemphasize or terminate the development or commercialization of any product or product candidate licensed to it by us. If one of our collaborators terminates its agreement with us, we may find it more difficult to attract new collaborators and our perception in the business and financial communities could be harmed.</w:t>
      </w:r>
    </w:p>
    <w:p>
      <w:pPr>
        <w:spacing w:after="0" w:line="171"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we are not able to establish additional collaborations, we may have to alter our development and commercialization plans and our business could be adversely affected.</w:t>
      </w:r>
    </w:p>
    <w:p>
      <w:pPr>
        <w:spacing w:after="0" w:line="170" w:lineRule="exact"/>
        <w:rPr>
          <w:sz w:val="20"/>
          <w:szCs w:val="20"/>
          <w:color w:val="auto"/>
        </w:rPr>
      </w:pPr>
    </w:p>
    <w:p>
      <w:pPr>
        <w:ind w:left="60" w:right="199" w:firstLine="441"/>
        <w:spacing w:after="0" w:line="283" w:lineRule="auto"/>
        <w:rPr>
          <w:sz w:val="20"/>
          <w:szCs w:val="20"/>
          <w:color w:val="auto"/>
        </w:rPr>
      </w:pPr>
      <w:r>
        <w:rPr>
          <w:rFonts w:ascii="Arial" w:cs="Arial" w:eastAsia="Arial" w:hAnsi="Arial"/>
          <w:sz w:val="16"/>
          <w:szCs w:val="16"/>
          <w:color w:val="auto"/>
        </w:rPr>
        <w:t>For some of our other product candidates, we may decide to collaborate with pharmaceutical, biotechnology and medical device companies for the development and potential commercialization of those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w:t>
      </w:r>
    </w:p>
    <w:p>
      <w:pPr>
        <w:spacing w:after="0" w:line="2" w:lineRule="exact"/>
        <w:rPr>
          <w:sz w:val="20"/>
          <w:szCs w:val="20"/>
          <w:color w:val="auto"/>
        </w:rPr>
      </w:pPr>
    </w:p>
    <w:p>
      <w:pPr>
        <w:jc w:val="both"/>
        <w:ind w:left="60" w:right="139"/>
        <w:spacing w:after="0" w:line="255" w:lineRule="auto"/>
        <w:rPr>
          <w:sz w:val="20"/>
          <w:szCs w:val="20"/>
          <w:color w:val="auto"/>
        </w:rPr>
      </w:pPr>
      <w:r>
        <w:rPr>
          <w:rFonts w:ascii="Arial" w:cs="Arial" w:eastAsia="Arial" w:hAnsi="Arial"/>
          <w:sz w:val="18"/>
          <w:szCs w:val="18"/>
          <w:color w:val="auto"/>
        </w:rPr>
        <w:t>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0" w:lineRule="exact"/>
        <w:rPr>
          <w:sz w:val="20"/>
          <w:szCs w:val="20"/>
          <w:color w:val="auto"/>
        </w:rPr>
      </w:pPr>
    </w:p>
    <w:p>
      <w:pPr>
        <w:ind w:left="60" w:right="179" w:firstLine="441"/>
        <w:spacing w:after="0" w:line="296" w:lineRule="auto"/>
        <w:rPr>
          <w:sz w:val="20"/>
          <w:szCs w:val="20"/>
          <w:color w:val="auto"/>
        </w:rPr>
      </w:pPr>
      <w:r>
        <w:rPr>
          <w:rFonts w:ascii="Arial" w:cs="Arial" w:eastAsia="Arial" w:hAnsi="Arial"/>
          <w:sz w:val="16"/>
          <w:szCs w:val="16"/>
          <w:color w:val="auto"/>
        </w:rPr>
        <w:t>We have conducted preclinical testing of protein-based anti-VEGF compounds in collaboration with Regeneron to explore the feasibility of delivering their drugs in combination with our hydrogel. The initial drug selected for preclinical testing under this collaboration was aflibercept, marketed under the brand name Eylea. We may explore broader collaborations for the development and potential commercialization of our hydrogel technology in combination with other large molecules with targets other than VEGF for the treatment of back-of-the-eye diseases and conditions.</w:t>
      </w:r>
    </w:p>
    <w:p>
      <w:pPr>
        <w:spacing w:after="0" w:line="161" w:lineRule="exact"/>
        <w:rPr>
          <w:sz w:val="20"/>
          <w:szCs w:val="20"/>
          <w:color w:val="auto"/>
        </w:rPr>
      </w:pPr>
    </w:p>
    <w:p>
      <w:pPr>
        <w:ind w:left="60" w:right="59" w:firstLine="441"/>
        <w:spacing w:after="0" w:line="270"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will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w:t>
      </w:r>
    </w:p>
    <w:p>
      <w:pPr>
        <w:spacing w:after="0" w:line="181"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Although the majority of our clinical development is administered and managed by our own employees, we have relied, and may continue to rely, on third parties for certain aspects of our clinical development, and those third parties may not perform satisfactorily, including failing to meet deadlines for the completion of such trials.</w:t>
      </w:r>
    </w:p>
    <w:p>
      <w:pPr>
        <w:spacing w:after="0" w:line="149" w:lineRule="exact"/>
        <w:rPr>
          <w:sz w:val="20"/>
          <w:szCs w:val="20"/>
          <w:color w:val="auto"/>
        </w:rPr>
      </w:pPr>
    </w:p>
    <w:p>
      <w:pPr>
        <w:ind w:left="60" w:right="159" w:firstLine="441"/>
        <w:spacing w:after="0" w:line="271" w:lineRule="auto"/>
        <w:rPr>
          <w:sz w:val="20"/>
          <w:szCs w:val="20"/>
          <w:color w:val="auto"/>
        </w:rPr>
      </w:pPr>
      <w:r>
        <w:rPr>
          <w:rFonts w:ascii="Arial" w:cs="Arial" w:eastAsia="Arial" w:hAnsi="Arial"/>
          <w:sz w:val="17"/>
          <w:szCs w:val="17"/>
          <w:color w:val="auto"/>
        </w:rPr>
        <w:t>Our employees have administered and managed most of our clinical development work, including our clinical trials for ReSure Sealant and our clinical trials for DEXTENZA for the treatment of post-surgical ocular inflammation and pain following cataract surgery. However, we have relied on third parties, such as CROs, to conduct clinical trials of certain of our product candidates, including DEXTENZA for the treatment of ocular itching associated with allergic conjunctivitis, and we may continue to do so. If we deem necessary, we may engage third parties, such as CROs, clinical data management organizations, medical institutions and clinical investigators, to conduct or assist in our clinical trials or other clinical development work. If we are unable to enter into an agreement with a CRO or other service provider when required, our product development activities would be delayed.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41"/>
        <w:spacing w:after="0" w:line="285" w:lineRule="auto"/>
        <w:rPr>
          <w:sz w:val="20"/>
          <w:szCs w:val="20"/>
          <w:color w:val="auto"/>
        </w:rPr>
      </w:pPr>
      <w:r>
        <w:rPr>
          <w:rFonts w:ascii="Arial" w:cs="Arial" w:eastAsia="Arial" w:hAnsi="Arial"/>
          <w:sz w:val="16"/>
          <w:szCs w:val="16"/>
          <w:color w:val="auto"/>
        </w:rPr>
        <w:t>Our reliance on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For example, in May 2020, we disclosed the receipt of interim data regarding our ongoing Phase 1 clinical trial of OTX-TKI for the potential treatment of wet AMD and other retinal diseases. In July 2020, however, we received further, and partially contradictory, information from the clinical trial site where certain patients were being treated. As the clinical trial site had not entered certain data concerning these patients into the clinical trial database in a timely manner, complete information was not available to or known by us at the time of our prior disclosures. We are also required to register ongoing clinical trials and post the results of completed clinical trials on a government-sponsored database, ClinicalTrials.gov, within specified timeframes. Failure to do so can result in fines, adverse publicity and civil and criminal sanctions. If we engage third parties and they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b w:val="1"/>
          <w:bCs w:val="1"/>
          <w:i w:val="1"/>
          <w:iCs w:val="1"/>
          <w:color w:val="auto"/>
        </w:rPr>
        <w:t>We may be unable to obtain and maintain patent protection for our technology and products, or the scope of the patent protection obtained may not be sufficiently broad, such that our competitors could develop and commercialize technology and products similar or identical to ours, and our ability to successfully commercialize our technology and products may be impaired.</w:t>
      </w:r>
    </w:p>
    <w:p>
      <w:pPr>
        <w:spacing w:after="0" w:line="187" w:lineRule="exact"/>
        <w:rPr>
          <w:sz w:val="20"/>
          <w:szCs w:val="20"/>
          <w:color w:val="auto"/>
        </w:rPr>
      </w:pPr>
    </w:p>
    <w:p>
      <w:pPr>
        <w:ind w:left="60" w:right="159" w:firstLine="441"/>
        <w:spacing w:after="0" w:line="269" w:lineRule="auto"/>
        <w:rPr>
          <w:sz w:val="20"/>
          <w:szCs w:val="20"/>
          <w:color w:val="auto"/>
        </w:rPr>
      </w:pPr>
      <w:r>
        <w:rPr>
          <w:rFonts w:ascii="Arial" w:cs="Arial" w:eastAsia="Arial" w:hAnsi="Arial"/>
          <w:sz w:val="17"/>
          <w:szCs w:val="17"/>
          <w:color w:val="auto"/>
        </w:rPr>
        <w:t>Our success depends in large part on our and our licensor’s ability to obtain and maintain patent protection in the United States and other countries with respect to our proprietary technology and products. We and our licensor have sought to protect our proprietary position by filing patent applications in the United States and abroad related to our novel technologies, products and product candidates. Some of our licensed patents that we believe are integral to our hydrogel technology platform have terms that extend through at least 2024. However, other broader patents within our patent portfolio have already expired. Given the amount of time required for the development, testing and regulatory review of new product candidates, patents protecting our candidates might expire before or shortly after such candidates are commercialized. As a result, our patent portfolio would be less effective in excluding others from commercializing products similar or identical to ours. The patent prosecution process is expensive and time-consuming, and we may not have filed or prosecuted and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79" w:lineRule="exact"/>
        <w:rPr>
          <w:sz w:val="20"/>
          <w:szCs w:val="20"/>
          <w:color w:val="auto"/>
        </w:rPr>
      </w:pPr>
    </w:p>
    <w:p>
      <w:pPr>
        <w:ind w:left="60" w:right="99" w:firstLine="441"/>
        <w:spacing w:after="0" w:line="267" w:lineRule="auto"/>
        <w:rPr>
          <w:sz w:val="20"/>
          <w:szCs w:val="20"/>
          <w:color w:val="auto"/>
        </w:rPr>
      </w:pPr>
      <w:r>
        <w:rPr>
          <w:rFonts w:ascii="Arial" w:cs="Arial" w:eastAsia="Arial" w:hAnsi="Arial"/>
          <w:sz w:val="17"/>
          <w:szCs w:val="17"/>
          <w:color w:val="auto"/>
        </w:rPr>
        <w:t>In some circumstances, we do not have the right to control the preparation, filing and prosecution of patent applications, or to enforce or maintain the patents, covering technology that we license from third parties. In particular, the license agreement that we have entered into with Incept LLC, or Incept, an intellectual property holding company, which covers a significant portion of the patent rights and the technology for ReSure Sealant and our product candidates, provides that, with limited exceptions, Incept has sole control and responsibility for ongoing prosecution for certain patents covered by the license agreement. In addition, although we have a right under the Incept license to bring suit against third parties who infringe such licensed patents in our fields, other Incept licensees may also have the right to enforce these patents in their own respective fields without our oversight or control. Those other licensees may choose to enforce our licensed patents in a way that harms our interest, for example, by advocating for claim interpretations or agreeing on invalidity positions that conflict with our positions or our interest. For example, three of our licensed patents related to ReSure Sealant were invalidated and rendered unenforceable following their assertion by Integra LifeSciences Holdings Corporation, another licensee of Incept. We also have no right to control the defense of such licensed patents if their validity or scope is challenged before the U.S. Patent and Trademark Office, or USPTO, European Patent Office, or other patent office or tribunal. Instead, we would essentially rely on our licensor to defend such challenges, and it may not do so in a way that would best protect our interests. Therefore, certain of our licensed patents and applications may not be prosecuted, enforced, defended or maintained in a manner consistent with the best interests of our business. If Incept fails to prosecute, enforce or maintain such patents, or loses rights to those patents, our licensed patent portfolio may be reduced or eliminated.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441"/>
        <w:spacing w:after="0" w:line="268" w:lineRule="auto"/>
        <w:rPr>
          <w:sz w:val="20"/>
          <w:szCs w:val="20"/>
          <w:color w:val="auto"/>
        </w:rPr>
      </w:pPr>
      <w:r>
        <w:rPr>
          <w:rFonts w:ascii="Arial" w:cs="Arial" w:eastAsia="Arial" w:hAnsi="Arial"/>
          <w:sz w:val="17"/>
          <w:szCs w:val="17"/>
          <w:color w:val="auto"/>
        </w:rPr>
        <w:t>The patent position of pharmaceutical, biotechnology and medical device companies generally is highly uncertain, involves complex legal and factual questions and has in recent years been the subject of much litigation. As a result, the issuance, scope, validity, enforceability and commercial value of our patent rights, including our licensed patent rights, are highly uncertain. Our and our licensor’s pending and future patent applications may not result in patents being issued which protect our technology or products or which effectively prevent others from commercializing competitive technologies and products. In addition, the laws of foreign countries may not protect our rights to the same extent as the laws of the United States. For example, unlike patent law in the United States, European patent law precludes the patentability of methods of treatment of the human body and imposes substantial restrictions on the scope of claims it will grant if broader than specifically disclosed embodiments. Moreover, we have no patent protection and likely will never obtain patent protection for ReSure Sealant outside the United States and Canada. We have only three issued patents outside of the United States that cover all three intracanalicular insert products and product candidates. We have three licensed patent families in Europe and certain other parts of the world for our intravitreal drug delivery product candidates, but only one patent issuance to date outside of the United States. Patents might not be issued and we may never obtain any patent protection or may only obtain substantially limited patent protection outside of the United States with respect to our products.</w:t>
      </w:r>
    </w:p>
    <w:p>
      <w:pPr>
        <w:spacing w:after="0" w:line="182" w:lineRule="exact"/>
        <w:rPr>
          <w:sz w:val="20"/>
          <w:szCs w:val="20"/>
          <w:color w:val="auto"/>
        </w:rPr>
      </w:pPr>
    </w:p>
    <w:p>
      <w:pPr>
        <w:ind w:left="60" w:right="79" w:firstLine="441"/>
        <w:spacing w:after="0" w:line="268" w:lineRule="auto"/>
        <w:rPr>
          <w:sz w:val="20"/>
          <w:szCs w:val="20"/>
          <w:color w:val="auto"/>
        </w:rPr>
      </w:pPr>
      <w:r>
        <w:rPr>
          <w:rFonts w:ascii="Arial" w:cs="Arial" w:eastAsia="Arial" w:hAnsi="Arial"/>
          <w:sz w:val="17"/>
          <w:szCs w:val="17"/>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 were the first to make the inventions claimed in our licensed patents or pending patent applications, or that we or our licensors were the first to file for patent protection of such inventions. Databases for patents and publications, and methods for searching them, are inherently limited so it is not practical to review and know the full scope of all issued and pending patent applications. As a result, the issuance, scope, validity, enforceability and commercial value of our licensed patent rights are uncertain. Our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Moreover, changes in either the patent laws or interpretation of the patent laws in the United States and other countries may diminish the value of our patents or narrow the scope of our patent protection.</w:t>
      </w:r>
    </w:p>
    <w:p>
      <w:pPr>
        <w:spacing w:after="0" w:line="184" w:lineRule="exact"/>
        <w:rPr>
          <w:sz w:val="20"/>
          <w:szCs w:val="20"/>
          <w:color w:val="auto"/>
        </w:rPr>
      </w:pPr>
    </w:p>
    <w:p>
      <w:pPr>
        <w:ind w:left="60" w:right="59" w:firstLine="441"/>
        <w:spacing w:after="0" w:line="284"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patent applications and the enforcement or defense of our issued patents. The Leahy-Smith America Invents Act, or the Leahy-Smith Act, includes a number of significant changes to United States patent law. These include provisions that affect the way patent applications are prosecuted and may also affect patent litigation. The USPTO recently developed new regulations and procedures to govern administration of the Leahy-Smith Act, and many of the substantive changes to patent law associated with the Leahy-Smith Act, and in particular, the first to file provisions, only became effective on March 16, 2013. The first to file provisions limit the rights of an inventor to patent an invention if not the first to file an application for patenting that invention, even if such invention was the first invention.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For example, the Leahy-Smith Act provides a new administrative tribunal known as the Patent Trial and Appeals Board, or PTAB, that provides a venue for companies to challenge the validity of competitor patents at a cost that is much lower than district court litigation and on timelines that are much faster. Although it is not clear what, if any, long term impact the PTAB proceedings will have on the operation of our business, the initial results of patent challenge proceedings before the PTAB since its inception in 2013 have resulted in the invalidation of many U.S. patent claims. The availability of the PTAB as a lower-cost, faster and potentially more potent tribunal for challenging patents could therefore increase the likelihood that our own licensed patents will be challenged, thereby increasing the uncertainties and costs of maintaining and enforcing them. Moreover, if such challenges occur, as indicated above, we have no right to control the defense. Instead, we would essentially rely on our licensor to consider our suggestions and to defend such challenges, with the possibility that it may not do so in a way that best protects our interests.</w:t>
      </w:r>
    </w:p>
    <w:p>
      <w:pPr>
        <w:spacing w:after="0" w:line="182" w:lineRule="exact"/>
        <w:rPr>
          <w:sz w:val="20"/>
          <w:szCs w:val="20"/>
          <w:color w:val="auto"/>
        </w:rPr>
      </w:pPr>
    </w:p>
    <w:p>
      <w:pPr>
        <w:ind w:left="60" w:right="159" w:firstLine="441"/>
        <w:spacing w:after="0" w:line="301" w:lineRule="auto"/>
        <w:rPr>
          <w:sz w:val="20"/>
          <w:szCs w:val="20"/>
          <w:color w:val="auto"/>
        </w:rPr>
      </w:pPr>
      <w:r>
        <w:rPr>
          <w:rFonts w:ascii="Arial" w:cs="Arial" w:eastAsia="Arial" w:hAnsi="Arial"/>
          <w:sz w:val="16"/>
          <w:szCs w:val="16"/>
          <w:color w:val="auto"/>
        </w:rPr>
        <w:t xml:space="preserve">We may be subject to a third-party preissuance submission of prior art to the USPTO, or become involved in other contested proceedings such as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59" w:lineRule="auto"/>
        <w:rPr>
          <w:sz w:val="20"/>
          <w:szCs w:val="20"/>
          <w:color w:val="auto"/>
        </w:rPr>
      </w:pPr>
      <w:r>
        <w:rPr>
          <w:rFonts w:ascii="Arial" w:cs="Arial" w:eastAsia="Arial" w:hAnsi="Arial"/>
          <w:sz w:val="18"/>
          <w:szCs w:val="18"/>
          <w:color w:val="auto"/>
        </w:rPr>
        <w:t>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products.</w:t>
      </w:r>
    </w:p>
    <w:p>
      <w:pPr>
        <w:spacing w:after="0" w:line="187" w:lineRule="exact"/>
        <w:rPr>
          <w:sz w:val="20"/>
          <w:szCs w:val="20"/>
          <w:color w:val="auto"/>
        </w:rPr>
      </w:pPr>
    </w:p>
    <w:p>
      <w:pPr>
        <w:ind w:left="60" w:right="79" w:firstLine="441"/>
        <w:spacing w:after="0" w:line="255" w:lineRule="auto"/>
        <w:rPr>
          <w:sz w:val="20"/>
          <w:szCs w:val="20"/>
          <w:color w:val="auto"/>
        </w:rPr>
      </w:pPr>
      <w:r>
        <w:rPr>
          <w:rFonts w:ascii="Arial" w:cs="Arial" w:eastAsia="Arial" w:hAnsi="Arial"/>
          <w:sz w:val="18"/>
          <w:szCs w:val="18"/>
          <w:color w:val="auto"/>
        </w:rPr>
        <w:t>In the United States,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In addition, patents that cover methods of use for a medical device cannot be enforced against the party that uses the device, but rather only against the party that makes them. Such indirect enforcement is more difficult to achieve.</w:t>
      </w:r>
    </w:p>
    <w:p>
      <w:pPr>
        <w:spacing w:after="0" w:line="192" w:lineRule="exact"/>
        <w:rPr>
          <w:sz w:val="20"/>
          <w:szCs w:val="20"/>
          <w:color w:val="auto"/>
        </w:rPr>
      </w:pPr>
    </w:p>
    <w:p>
      <w:pPr>
        <w:ind w:left="60" w:right="179" w:firstLine="441"/>
        <w:spacing w:after="0" w:line="271"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78" w:lineRule="exact"/>
        <w:rPr>
          <w:sz w:val="20"/>
          <w:szCs w:val="20"/>
          <w:color w:val="auto"/>
        </w:rPr>
      </w:pPr>
    </w:p>
    <w:p>
      <w:pPr>
        <w:ind w:left="60" w:right="99" w:firstLine="441"/>
        <w:spacing w:after="0" w:line="271" w:lineRule="auto"/>
        <w:rPr>
          <w:sz w:val="20"/>
          <w:szCs w:val="20"/>
          <w:color w:val="auto"/>
        </w:rPr>
      </w:pPr>
      <w:r>
        <w:rPr>
          <w:rFonts w:ascii="Arial" w:cs="Arial" w:eastAsia="Arial" w:hAnsi="Arial"/>
          <w:sz w:val="17"/>
          <w:szCs w:val="17"/>
          <w:color w:val="auto"/>
        </w:rPr>
        <w:t>Because the active pharmaceutical ingredients in our products and product candidates other than those being developed pursuant to the Regeneron Collaboration Agreement are available on a generic basis, or are soon to be available on a generic basis, competitors will be able to offer and sell products with the same active pharmaceutical ingredient as our products so long as these competitors do not infringe our patents or any patents that we license. These patents largely relate to the hydrogel composition of our intracanalicular inserts and the drug-release design scheme of our inserts. As such, if a third party were able to design around the formulation and process patents that we license and create a different formulation using a different production process not covered by our patents or patent applications, we would likely be unable to prevent that third party from manufacturing and marketing its product.</w:t>
      </w:r>
    </w:p>
    <w:p>
      <w:pPr>
        <w:spacing w:after="0" w:line="178"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If we are not able to obtain patent term extensions in the United States under the Hatch-Waxman Act and in foreign countries under similar legislation, thereby potentially extending the term of our marketing exclusivity for our product and product candidates, our business may be impaired.</w:t>
      </w:r>
    </w:p>
    <w:p>
      <w:pPr>
        <w:spacing w:after="0" w:line="184" w:lineRule="exact"/>
        <w:rPr>
          <w:sz w:val="20"/>
          <w:szCs w:val="20"/>
          <w:color w:val="auto"/>
        </w:rPr>
      </w:pPr>
    </w:p>
    <w:p>
      <w:pPr>
        <w:ind w:left="60" w:right="139" w:firstLine="441"/>
        <w:spacing w:after="0" w:line="253"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of the U.S. patents covering each of such product candidates or the use thereof may be eligible for up to five years of patent term restoration under the Hatch-Waxman Act. The Hatch-Waxman Act allows a maximum of one patent to be extended per FDA-approved product.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96" w:lineRule="exact"/>
        <w:rPr>
          <w:sz w:val="20"/>
          <w:szCs w:val="20"/>
          <w:color w:val="auto"/>
        </w:rPr>
      </w:pPr>
    </w:p>
    <w:p>
      <w:pPr>
        <w:ind w:left="60" w:right="79" w:firstLine="441"/>
        <w:spacing w:after="0" w:line="257" w:lineRule="auto"/>
        <w:rPr>
          <w:sz w:val="20"/>
          <w:szCs w:val="20"/>
          <w:color w:val="auto"/>
        </w:rPr>
      </w:pPr>
      <w:r>
        <w:rPr>
          <w:rFonts w:ascii="Arial" w:cs="Arial" w:eastAsia="Arial" w:hAnsi="Arial"/>
          <w:sz w:val="18"/>
          <w:szCs w:val="18"/>
          <w:color w:val="auto"/>
        </w:rPr>
        <w:t>Further, our license from Incept does not provide us with the right to control decisions by Incept or its other licensees on Orange Book listings or patent term extension decisions under the Hatch-Waxman Act. Thus, if one of our important licensed patents is eligible for a patent term extension under the Hatch-Waxman Act, and it covers a product of another Incept licensee in addition to our own product candidate, we may not be able to obtain that extension if the other licensee seeks and obtains that extension first.</w:t>
      </w:r>
    </w:p>
    <w:p>
      <w:pPr>
        <w:spacing w:after="0" w:line="188" w:lineRule="exact"/>
        <w:rPr>
          <w:sz w:val="20"/>
          <w:szCs w:val="20"/>
          <w:color w:val="auto"/>
        </w:rPr>
      </w:pPr>
    </w:p>
    <w:p>
      <w:pPr>
        <w:ind w:left="60" w:right="219" w:firstLine="441"/>
        <w:spacing w:after="0" w:line="259"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licensed patents or other intellectual property, which could be expensive, time-consuming and unsuccessful.</w:t>
      </w:r>
    </w:p>
    <w:p>
      <w:pPr>
        <w:spacing w:after="0" w:line="170"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color w:val="auto"/>
        </w:rPr>
        <w:t>Competitors may infringe our licensed patents or other intellectual property. As a result, to counter infringement or unauthorized use, we may be required to file infringement claims, which can be expensive and time-consuming. Under the terms of our license agreement with Incept, we have the right to initiate suit against third parties who we believe infringe on the patents subject to the license. Any claims we assert against perceived infringers could provoke these parties to assert counterclaims against us alleging that we infringe their patents. In addition, in a patent infringement proceeding, a court may decide that a patent we have rights to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2" w:lineRule="exact"/>
        <w:rPr>
          <w:sz w:val="20"/>
          <w:szCs w:val="20"/>
          <w:color w:val="auto"/>
        </w:rPr>
      </w:pPr>
    </w:p>
    <w:p>
      <w:pPr>
        <w:ind w:left="60" w:right="699"/>
        <w:spacing w:after="0" w:line="381"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00" w:lineRule="exact"/>
        <w:rPr>
          <w:sz w:val="20"/>
          <w:szCs w:val="20"/>
          <w:color w:val="auto"/>
        </w:rPr>
      </w:pPr>
    </w:p>
    <w:p>
      <w:pPr>
        <w:ind w:left="60" w:right="79" w:firstLine="441"/>
        <w:spacing w:after="0" w:line="283" w:lineRule="auto"/>
        <w:rPr>
          <w:sz w:val="20"/>
          <w:szCs w:val="20"/>
          <w:color w:val="auto"/>
        </w:rPr>
      </w:pPr>
      <w:r>
        <w:rPr>
          <w:rFonts w:ascii="Arial" w:cs="Arial" w:eastAsia="Arial" w:hAnsi="Arial"/>
          <w:sz w:val="16"/>
          <w:szCs w:val="16"/>
          <w:color w:val="auto"/>
        </w:rPr>
        <w:t xml:space="preserve">Our commercial success depends upon our ability to develop, manufacture, market and sell our products and product candidates and use our proprietary technologies without infringing the proprietary rights of third parties. There is considerable intellectual property litigation in the biotechnology, medical device, and pharmaceutical industries. We may become party to, or threatened with, infringement litigation claims regarding our products and technology, including claims from competitors or from non-practicing entities that have no relevant product revenue and against whom our own patent portfolio may have no deterrent effect. Moreover, we may become party to future adversarial proceedings or litigation regarding our patent portfolio or the patents of third parties. Such proceedings could also include contested post-grant proceedings such as oppositions,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reexamination, interference or derivation proceedings before the USPTO or foreign patent offices. 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proceedings may have the ability to dedicate substantially greater resources to prosecuting these legal actions than we 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licensor can. The risks of being involved in such litigation and proceedings may increase as our products or product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candidates near commercialization and as we gain the greater visibility associated with being a public company. Third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parties may assert infringement claims against us based on existing patents or patents that may be granted in the future.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may not be aware of all such intellectual property rights potentially relating to our products or product candidates and their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uses, or we may incorrectly determine that a patent is invalid or does not cover a particular product or product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candidate. Thus, we do not know with certainty that DEXTENZA, ReSure Sealant or any of our product candidates, or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commercialization thereof, does not and will not infringe or otherwise violate any third party’s intellectual property.</w:t>
      </w:r>
    </w:p>
    <w:p>
      <w:pPr>
        <w:spacing w:after="0" w:line="222" w:lineRule="exact"/>
        <w:rPr>
          <w:sz w:val="20"/>
          <w:szCs w:val="20"/>
          <w:color w:val="auto"/>
        </w:rPr>
      </w:pPr>
    </w:p>
    <w:p>
      <w:pPr>
        <w:ind w:left="60" w:right="99" w:firstLine="441"/>
        <w:spacing w:after="0" w:line="268" w:lineRule="auto"/>
        <w:rPr>
          <w:sz w:val="20"/>
          <w:szCs w:val="20"/>
          <w:color w:val="auto"/>
        </w:rPr>
      </w:pPr>
      <w:r>
        <w:rPr>
          <w:rFonts w:ascii="Arial" w:cs="Arial" w:eastAsia="Arial" w:hAnsi="Arial"/>
          <w:sz w:val="17"/>
          <w:szCs w:val="17"/>
          <w:color w:val="auto"/>
        </w:rPr>
        <w:t xml:space="preserve">We have been made aware by a third party of three patents relating to intracanalicular inserts that may relate to, and potentially could be asserted against, our intracanalicular insert product and product candidates, including DEXTENZA. We believe that DEXTENZA does not infringe the claims of one of more of these patents. We also believe that such claims, if and to the extent they were asserted against our product candidates, would be subject to a claim of invalidity. We initiated legal proceedings against one of these patents and administrative proceedings against the other two patents in order to show that DEXTENZA does not infringe the claims of these patents or that these patents are invalid. We have settled the legal proceedings related to one of these patents. The USPTO decided to proceed with the administrative proceeding related to one of the patents while declining to do so for the other. In June 2020, the PTAB, after an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determined that we had proven by a preponderance of the evidence that all claims of such patent at issue</w:t>
      </w:r>
      <w:r>
        <w:rPr>
          <w:rFonts w:ascii="Arial" w:cs="Arial" w:eastAsia="Arial" w:hAnsi="Arial"/>
          <w:sz w:val="17"/>
          <w:szCs w:val="17"/>
          <w:i w:val="1"/>
          <w:iCs w:val="1"/>
          <w:color w:val="auto"/>
        </w:rPr>
        <w:t xml:space="preserve"> </w:t>
      </w:r>
      <w:r>
        <w:rPr>
          <w:rFonts w:ascii="Arial" w:cs="Arial" w:eastAsia="Arial" w:hAnsi="Arial"/>
          <w:sz w:val="17"/>
          <w:szCs w:val="17"/>
          <w:color w:val="auto"/>
        </w:rPr>
        <w:t>held by such third party were invalid; the third party has appealed this decision. We continue to believe that DEXTENZA does not infringe the claims of the remaining patent and that, if and to the extent it were asserted against DEXTENZA, such patent would be subject to a claim of invalidity. We have become aware that the USPTO has recently issued a patent filed by this third party related to intracanalicular inserts containing dexamethasone. If this patent were asserted against DEXTENZA or other of our product candidates, we believe such patent would be non-infringed and subject to a claim of invalidity.</w:t>
      </w:r>
    </w:p>
    <w:p>
      <w:pPr>
        <w:spacing w:after="0" w:line="182" w:lineRule="exact"/>
        <w:rPr>
          <w:sz w:val="20"/>
          <w:szCs w:val="20"/>
          <w:color w:val="auto"/>
        </w:rPr>
      </w:pPr>
    </w:p>
    <w:p>
      <w:pPr>
        <w:ind w:left="60" w:right="279" w:firstLine="441"/>
        <w:spacing w:after="0" w:line="342"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products and technology. However, we may not be able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9" w:lineRule="auto"/>
        <w:rPr>
          <w:sz w:val="20"/>
          <w:szCs w:val="20"/>
          <w:color w:val="auto"/>
        </w:rPr>
      </w:pPr>
      <w:r>
        <w:rPr>
          <w:rFonts w:ascii="Arial" w:cs="Arial" w:eastAsia="Arial" w:hAnsi="Arial"/>
          <w:sz w:val="16"/>
          <w:szCs w:val="16"/>
          <w:color w:val="auto"/>
        </w:rPr>
        <w:t>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and could be forced to indemnify our customers or collaborators. A finding of infringement could also result in an injunction that prevents us from commercializing our products or product candidates or forces us to cease some of our business operations. In addition, we may be forced to redesign our products or product candidates, seek new regulatory approvals and indemnify third parties pursuant to contractual agreements. Claims that we have misappropriated the confidential information or trade secrets of third parties could have a similar negative impact on our business.</w:t>
      </w:r>
    </w:p>
    <w:p>
      <w:pPr>
        <w:spacing w:after="0" w:line="16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Our license agreement with Incept, under which we license a significant portion of our patent rights and the technology for DEXTENZA, ReSure Sealant and our product candidates, imposes royalty and other financial obligations and other substantial performance obligations on us. We also may enter into additional licensing and funding arrangements with third parties that may impose diligence, development and commercialization timelines and milestone payment, royalty, insurance and other obligations on us. If we fail to comply with our obligations under current or future license and collaboration agreements, our counterparties may have the right to terminate these agreements, in which event we might not be able to develop, manufacture or market any product that is covered by these agreements or may face other penalties under the agreements. Such an occurrence could diminish the value of our product.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2" w:lineRule="exact"/>
        <w:rPr>
          <w:sz w:val="20"/>
          <w:szCs w:val="20"/>
          <w:color w:val="auto"/>
        </w:rPr>
      </w:pPr>
    </w:p>
    <w:p>
      <w:pPr>
        <w:ind w:left="60" w:right="139" w:firstLine="441"/>
        <w:spacing w:after="0" w:line="285" w:lineRule="auto"/>
        <w:rPr>
          <w:sz w:val="20"/>
          <w:szCs w:val="20"/>
          <w:color w:val="auto"/>
        </w:rPr>
      </w:pPr>
      <w:r>
        <w:rPr>
          <w:rFonts w:ascii="Arial" w:cs="Arial" w:eastAsia="Arial" w:hAnsi="Arial"/>
          <w:sz w:val="16"/>
          <w:szCs w:val="16"/>
          <w:color w:val="auto"/>
        </w:rPr>
        <w:t>Under the terms of our license agreement with Incept, we have agreed to assign to Incept our rights in certain patent applications filed at any time in any country for which one or more inventors are under an obligation of assignment to us. These assigned patent applications and any resulting patents are included within the specified patents owned or controlled by Incept to which we receive a license under the agreement. Incept has retained rights to practice the patents and technology licensed to us under the agreement for all purposes other than for researching, designing, developing, manufacturing and commercializing products that are delivered to or around the human eye for diagnostic, therapeutic or prophylactic purposes relating to ophthalmic diseases or conditions. As a result, termination of our agreement with Incept, based on our failure to comply with this or any other obligation under the agreement, would cause us to lose a significant portion of our rights to important intellectual property or technology upon which our business depends. Additionally, the field limit of the license and the requirement that we assign to Incept our rights in certain patent applications may restrict our ability to use certain of our licensed rights to expand our business outside of the specified fields. If we determine to pursue a strategy of expanding the use of the hydrogel technology outside of the specified fields, we would need to negotiate and enter into an amendment to our existing license agreement with Incept or a new license agreement with Incept covering one or more additional such fields of use or utilize technologies that do not infringe on such licensed rights. We may not be able to obtain any such required amendment or new license or to invent or otherwise access other technology on commercially reasonable terms or at all.</w:t>
      </w:r>
    </w:p>
    <w:p>
      <w:pPr>
        <w:spacing w:after="0" w:line="176"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46" w:lineRule="exact"/>
        <w:rPr>
          <w:sz w:val="20"/>
          <w:szCs w:val="20"/>
          <w:color w:val="auto"/>
        </w:rPr>
      </w:pPr>
    </w:p>
    <w:p>
      <w:pPr>
        <w:ind w:left="60" w:right="159" w:firstLine="441"/>
        <w:spacing w:after="0" w:line="296" w:lineRule="auto"/>
        <w:rPr>
          <w:sz w:val="20"/>
          <w:szCs w:val="20"/>
          <w:color w:val="auto"/>
        </w:rPr>
      </w:pPr>
      <w:r>
        <w:rPr>
          <w:rFonts w:ascii="Arial" w:cs="Arial" w:eastAsia="Arial" w:hAnsi="Arial"/>
          <w:sz w:val="16"/>
          <w:szCs w:val="16"/>
          <w:color w:val="auto"/>
        </w:rPr>
        <w:t>Many of our employees were previously employed at universities or other biotechnology, medical device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161" w:lineRule="exact"/>
        <w:rPr>
          <w:sz w:val="20"/>
          <w:szCs w:val="20"/>
          <w:color w:val="auto"/>
        </w:rPr>
      </w:pPr>
    </w:p>
    <w:p>
      <w:pPr>
        <w:ind w:left="60" w:right="59" w:firstLine="441"/>
        <w:spacing w:after="0" w:line="30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bring claims against third parties, or defend claims they may bring against us, to determine the ownership of what we regard as our intellectual property.</w:t>
      </w:r>
    </w:p>
    <w:p>
      <w:pPr>
        <w:spacing w:after="0" w:line="170" w:lineRule="exact"/>
        <w:rPr>
          <w:sz w:val="20"/>
          <w:szCs w:val="20"/>
          <w:color w:val="auto"/>
        </w:rPr>
      </w:pPr>
    </w:p>
    <w:p>
      <w:pPr>
        <w:ind w:left="60" w:right="539" w:firstLine="441"/>
        <w:spacing w:after="0" w:line="286"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6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70" w:lineRule="exact"/>
        <w:rPr>
          <w:sz w:val="20"/>
          <w:szCs w:val="20"/>
          <w:color w:val="auto"/>
        </w:rPr>
      </w:pPr>
    </w:p>
    <w:p>
      <w:pPr>
        <w:ind w:left="60" w:right="59" w:firstLine="441"/>
        <w:spacing w:after="0" w:line="284"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w:t>
      </w:r>
    </w:p>
    <w:p>
      <w:pPr>
        <w:spacing w:after="0" w:line="2" w:lineRule="exact"/>
        <w:rPr>
          <w:sz w:val="20"/>
          <w:szCs w:val="20"/>
          <w:color w:val="auto"/>
        </w:rPr>
      </w:pPr>
    </w:p>
    <w:p>
      <w:pPr>
        <w:jc w:val="both"/>
        <w:ind w:left="60" w:right="379"/>
        <w:spacing w:after="0" w:line="277" w:lineRule="auto"/>
        <w:rPr>
          <w:sz w:val="20"/>
          <w:szCs w:val="20"/>
          <w:color w:val="auto"/>
        </w:rPr>
      </w:pPr>
      <w:r>
        <w:rPr>
          <w:rFonts w:ascii="Arial" w:cs="Arial" w:eastAsia="Arial" w:hAnsi="Arial"/>
          <w:sz w:val="17"/>
          <w:szCs w:val="17"/>
          <w:color w:val="auto"/>
        </w:rPr>
        <w:t>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3"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70" w:lineRule="exact"/>
        <w:rPr>
          <w:sz w:val="20"/>
          <w:szCs w:val="20"/>
          <w:color w:val="auto"/>
        </w:rPr>
      </w:pPr>
    </w:p>
    <w:p>
      <w:pPr>
        <w:ind w:left="60" w:right="119" w:firstLine="441"/>
        <w:spacing w:after="0" w:line="286" w:lineRule="auto"/>
        <w:rPr>
          <w:sz w:val="20"/>
          <w:szCs w:val="20"/>
          <w:color w:val="auto"/>
        </w:rPr>
      </w:pPr>
      <w:r>
        <w:rPr>
          <w:rFonts w:ascii="Arial" w:cs="Arial" w:eastAsia="Arial" w:hAnsi="Arial"/>
          <w:sz w:val="16"/>
          <w:szCs w:val="16"/>
          <w:color w:val="auto"/>
        </w:rPr>
        <w:t>In addition to seeking patents for our technology, products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70" w:lineRule="exact"/>
        <w:rPr>
          <w:sz w:val="20"/>
          <w:szCs w:val="20"/>
          <w:color w:val="auto"/>
        </w:rPr>
      </w:pPr>
    </w:p>
    <w:p>
      <w:pPr>
        <w:ind w:left="60" w:right="419"/>
        <w:spacing w:after="0" w:line="282" w:lineRule="auto"/>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166"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some or all of our product candidates. If we or any current or future collaborator of ours is not able to obtain, or if there are delays in obtaining, required regulatory approvals, we or they will not be able to commercialize our product candidates, and our ability to generate revenue will be materially impaired.</w:t>
      </w:r>
    </w:p>
    <w:p>
      <w:pPr>
        <w:spacing w:after="0" w:line="161" w:lineRule="exact"/>
        <w:rPr>
          <w:sz w:val="20"/>
          <w:szCs w:val="20"/>
          <w:color w:val="auto"/>
        </w:rPr>
      </w:pPr>
    </w:p>
    <w:p>
      <w:pPr>
        <w:ind w:left="60" w:right="79" w:firstLine="441"/>
        <w:spacing w:after="0" w:line="288" w:lineRule="auto"/>
        <w:rPr>
          <w:sz w:val="20"/>
          <w:szCs w:val="20"/>
          <w:color w:val="auto"/>
        </w:rPr>
      </w:pPr>
      <w:r>
        <w:rPr>
          <w:rFonts w:ascii="Arial" w:cs="Arial" w:eastAsia="Arial" w:hAnsi="Arial"/>
          <w:sz w:val="16"/>
          <w:szCs w:val="16"/>
          <w:color w:val="auto"/>
        </w:rPr>
        <w:t>The activities associated with the development and commercialization of our products and product candidates, including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the product candidate. We have only received approval to market DEXTENZA and ReSure Sealant in the United States, and have not received approval to market any of our product candidates or to market DEXTENZA or ReSure Sealant in any jurisdiction outside the United States. Further, we have only received approval to market DEXTENZA for the treatment of ocular inflammation and pain following ophthalmic surgery and have not received approval to market DEXTENZA for any other indications. We may determine to seek a CE Certificate of Conformity, which demonstrates compliance with relevant requirements and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provides approval to commercialize ReSure Sealant in the European Union. If we are unable to obtain a CE Certificate of Conformity for DEXTENZA, ReSure Sealant, or any of our product candidates for which we seek European regulatory approval, we will be prohibited from commercializing such product or products in the European Union and other places which require the CE Certificate of Conformity. In such a case, the potential market to commercialize our products may be significantly smaller than we currently estimate.</w:t>
      </w:r>
    </w:p>
    <w:p>
      <w:pPr>
        <w:spacing w:after="0" w:line="188" w:lineRule="exact"/>
        <w:rPr>
          <w:sz w:val="20"/>
          <w:szCs w:val="20"/>
          <w:color w:val="auto"/>
        </w:rPr>
      </w:pPr>
    </w:p>
    <w:p>
      <w:pPr>
        <w:ind w:left="60" w:right="99" w:firstLine="441"/>
        <w:spacing w:after="0" w:line="288" w:lineRule="auto"/>
        <w:rPr>
          <w:sz w:val="20"/>
          <w:szCs w:val="20"/>
          <w:color w:val="auto"/>
        </w:rPr>
      </w:pPr>
      <w:r>
        <w:rPr>
          <w:rFonts w:ascii="Arial" w:cs="Arial" w:eastAsia="Arial" w:hAnsi="Arial"/>
          <w:sz w:val="16"/>
          <w:szCs w:val="16"/>
          <w:color w:val="auto"/>
        </w:rPr>
        <w:t>The process of obtaining marketing approvals, both in the United States and abroad, is expensive and may take many years, especially if additional clinical trials are required, if approval is obtained at all. Securing marketing approval requires the submission of extensive preclinical and clinical data and supporting information to regulatory authorities for each therapeutic indication to establish the product candidate’s safety and purity. Securing marketing approval also requires the submission of information about the product manufacturing process to, and inspection of manufacturing facilities by, the regulatory authorities. The FDA, the EMA or other regulatory authorities may determine that our product candidates are not safe or effective, are only moderately effective or have undesirable or unintended side effects, toxicities or other characteristics that preclude our obtaining marketing approval or prevent or limit commercial use. In addition, while we have had general discussions with the FDA concerning the design of some of our clinical trials, we have not discussed with the FDA the specifics of the regulatory pathways for our product candidates.</w:t>
      </w:r>
    </w:p>
    <w:p>
      <w:pPr>
        <w:spacing w:after="0" w:line="168" w:lineRule="exact"/>
        <w:rPr>
          <w:sz w:val="20"/>
          <w:szCs w:val="20"/>
          <w:color w:val="auto"/>
        </w:rPr>
      </w:pPr>
    </w:p>
    <w:p>
      <w:pPr>
        <w:ind w:left="60" w:right="139" w:firstLine="441"/>
        <w:spacing w:after="0" w:line="288" w:lineRule="auto"/>
        <w:rPr>
          <w:sz w:val="20"/>
          <w:szCs w:val="20"/>
          <w:color w:val="auto"/>
        </w:rPr>
      </w:pPr>
      <w:r>
        <w:rPr>
          <w:rFonts w:ascii="Arial" w:cs="Arial" w:eastAsia="Arial" w:hAnsi="Arial"/>
          <w:sz w:val="16"/>
          <w:szCs w:val="16"/>
          <w:color w:val="auto"/>
        </w:rPr>
        <w:t>As part of its review of the NDA for DEXTENZA for post-surgical ocular pain, the FDA completed inspections of three sites from our two completed Phase 3 clinical trials for compliance with the study protocol and Good Clinical Practices. During the first of these inspections, the FDA identified storage temperature excursions for the investigational product that is labeled to be stored in a refrigerated condition between two degrees and eight degrees Celsius. We also had previously addressed a minor temperature deviation report during the conduct of the Phase 3 trials and communicated a response to the trial sites. In addition, while investigating the report stemming from the FDA inspection, several more noteworthy temperature excursions were found to have occurred that had not been fully reported. Because of the limited nature of the temperature excursions and historical product testing, including testing on product stored at elevated temperatures, we believe it is unlikely that drug product performance was significantly impacted. We have also implemented a corrective action plan to address clinical compliance and prevent recurrence in other clinical studies.</w:t>
      </w:r>
    </w:p>
    <w:p>
      <w:pPr>
        <w:spacing w:after="0" w:line="168" w:lineRule="exact"/>
        <w:rPr>
          <w:sz w:val="20"/>
          <w:szCs w:val="20"/>
          <w:color w:val="auto"/>
        </w:rPr>
      </w:pPr>
    </w:p>
    <w:p>
      <w:pPr>
        <w:ind w:left="60" w:right="119" w:firstLine="441"/>
        <w:spacing w:after="0" w:line="269" w:lineRule="auto"/>
        <w:rPr>
          <w:sz w:val="20"/>
          <w:szCs w:val="20"/>
          <w:color w:val="auto"/>
        </w:rPr>
      </w:pPr>
      <w:r>
        <w:rPr>
          <w:rFonts w:ascii="Arial" w:cs="Arial" w:eastAsia="Arial" w:hAnsi="Arial"/>
          <w:sz w:val="17"/>
          <w:szCs w:val="17"/>
          <w:color w:val="auto"/>
        </w:rPr>
        <w:t>The FDA also completed two inspections of our manufacturing facility in connection with our NDA for DEXTENZA for the treatment of post-surgical ocular pain. After each inspection, we received a Form 483 from the FDA pertaining to deficiencies in our manufacturing processes identified during such inspection. After we responded to the issues which had been identified with corrective action plans, we subsequently received CRLs from the FDA. We may be subject to similar inspections in the future for DEXTENZA or for other product candidates for which we seek FDA approval. For example, in February 2021, the FDA requested information and records from us relating to our DEXTENZA commercial manufacturing operations and quality systems pursuant to Form 4003 in advance or in lieu of a drug inspection. If we are unable to address any identified issues successfully or if the FDA determines that the actions we take to remediate any identified issues to be inadequate, our ability to commercialize any products could be limited, which could adversely affect our ability to achieve or sustain profitability.</w:t>
      </w:r>
    </w:p>
    <w:p>
      <w:pPr>
        <w:spacing w:after="0" w:line="185" w:lineRule="exact"/>
        <w:rPr>
          <w:sz w:val="20"/>
          <w:szCs w:val="20"/>
          <w:color w:val="auto"/>
        </w:rPr>
      </w:pPr>
    </w:p>
    <w:p>
      <w:pPr>
        <w:ind w:left="60" w:right="119" w:firstLine="441"/>
        <w:spacing w:after="0" w:line="290" w:lineRule="auto"/>
        <w:rPr>
          <w:sz w:val="20"/>
          <w:szCs w:val="20"/>
          <w:color w:val="auto"/>
        </w:rPr>
      </w:pPr>
      <w:r>
        <w:rPr>
          <w:rFonts w:ascii="Arial" w:cs="Arial" w:eastAsia="Arial" w:hAnsi="Arial"/>
          <w:sz w:val="16"/>
          <w:szCs w:val="16"/>
          <w:color w:val="auto"/>
        </w:rPr>
        <w:t>Changes in marketing approval policies during the development period, changes in or the enactment of additional statutes or regulations, or changes in regulatory review for each submitted product application, may cause delays in the approval or rejection of an application. The FDA, the EMA and regulatory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any current or future collaborator of ours ultimately obtains may be limited or subject to restrictions or post-approval commitments that render the approved product not commercially viable.</w:t>
      </w:r>
    </w:p>
    <w:p>
      <w:pPr>
        <w:spacing w:after="0" w:line="165" w:lineRule="exact"/>
        <w:rPr>
          <w:sz w:val="20"/>
          <w:szCs w:val="20"/>
          <w:color w:val="auto"/>
        </w:rPr>
      </w:pPr>
    </w:p>
    <w:p>
      <w:pPr>
        <w:ind w:left="60" w:right="59" w:firstLine="441"/>
        <w:spacing w:after="0" w:line="255" w:lineRule="auto"/>
        <w:rPr>
          <w:sz w:val="20"/>
          <w:szCs w:val="20"/>
          <w:color w:val="auto"/>
        </w:rPr>
      </w:pPr>
      <w:r>
        <w:rPr>
          <w:rFonts w:ascii="Arial" w:cs="Arial" w:eastAsia="Arial" w:hAnsi="Arial"/>
          <w:sz w:val="18"/>
          <w:szCs w:val="18"/>
          <w:color w:val="auto"/>
        </w:rPr>
        <w:t>Finally, disruptions at the FDA and other agencies may prolong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441"/>
        <w:spacing w:after="0" w:line="263" w:lineRule="auto"/>
        <w:rPr>
          <w:sz w:val="20"/>
          <w:szCs w:val="20"/>
          <w:color w:val="auto"/>
        </w:rPr>
      </w:pPr>
      <w:r>
        <w:rPr>
          <w:rFonts w:ascii="Arial" w:cs="Arial" w:eastAsia="Arial" w:hAnsi="Arial"/>
          <w:sz w:val="18"/>
          <w:szCs w:val="18"/>
          <w:color w:val="auto"/>
        </w:rPr>
        <w:t>Accordingly, if we or any current or future collaborator of ours experiences delays in obtaining approval or if we or they fail to obtain approval of our product candidates, the commercial prospects for our product candidates may be harmed and our ability to generate revenues will be materially impaired.</w:t>
      </w:r>
    </w:p>
    <w:p>
      <w:pPr>
        <w:spacing w:after="0" w:line="184"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products or product candidates from being marketed abroad.</w:t>
      </w:r>
    </w:p>
    <w:p>
      <w:pPr>
        <w:spacing w:after="0" w:line="170" w:lineRule="exact"/>
        <w:rPr>
          <w:sz w:val="20"/>
          <w:szCs w:val="20"/>
          <w:color w:val="auto"/>
        </w:rPr>
      </w:pPr>
    </w:p>
    <w:p>
      <w:pPr>
        <w:ind w:left="60" w:right="59" w:firstLine="441"/>
        <w:spacing w:after="0" w:line="286" w:lineRule="auto"/>
        <w:rPr>
          <w:sz w:val="20"/>
          <w:szCs w:val="20"/>
          <w:color w:val="auto"/>
        </w:rPr>
      </w:pPr>
      <w:r>
        <w:rPr>
          <w:rFonts w:ascii="Arial" w:cs="Arial" w:eastAsia="Arial" w:hAnsi="Arial"/>
          <w:sz w:val="16"/>
          <w:szCs w:val="16"/>
          <w:color w:val="auto"/>
        </w:rPr>
        <w:t>In order to market and sell DEXTENZA, ReSure Sealant or our product candidates in the European Union and many other jurisdictions, including certain jurisdictions covered by our AffaMed collaboration,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our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approval process in other countries. We may not be able to file for marketing approvals and may not receive necessary approvals to commercialize our products in any market.</w:t>
      </w:r>
    </w:p>
    <w:p>
      <w:pPr>
        <w:spacing w:after="0" w:line="174" w:lineRule="exact"/>
        <w:rPr>
          <w:sz w:val="20"/>
          <w:szCs w:val="20"/>
          <w:color w:val="auto"/>
        </w:rPr>
      </w:pPr>
    </w:p>
    <w:p>
      <w:pPr>
        <w:ind w:left="60" w:right="99" w:firstLine="441"/>
        <w:spacing w:after="0" w:line="286" w:lineRule="auto"/>
        <w:rPr>
          <w:sz w:val="20"/>
          <w:szCs w:val="20"/>
          <w:color w:val="auto"/>
        </w:rPr>
      </w:pPr>
      <w:r>
        <w:rPr>
          <w:rFonts w:ascii="Arial" w:cs="Arial" w:eastAsia="Arial" w:hAnsi="Arial"/>
          <w:sz w:val="16"/>
          <w:szCs w:val="16"/>
          <w:color w:val="auto"/>
        </w:rPr>
        <w:t>Additionally, we could face heightened risks with respect to seeking marketing approval in the United Kingdom as a result of the recent withdrawal of the United Kingdom from the European Union, commonly referred to as Brexit. Pursuant to the formal withdrawal arrangements agreed between the United Kingdom and the European Union, the United Kingdom withdrew from the European Union, effective December 31, 2020. On December 24, 2020, the United Kingdom and European Union entered into a Trade and Cooperation Agreement. The agreement sets out certain procedures for approval and recognition of medical products in each jurisdiction. 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would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product candidates, which could significantly and materially harm our business.</w:t>
      </w:r>
    </w:p>
    <w:p>
      <w:pPr>
        <w:spacing w:after="0" w:line="171"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b w:val="1"/>
          <w:bCs w:val="1"/>
          <w:i w:val="1"/>
          <w:iCs w:val="1"/>
          <w:color w:val="auto"/>
        </w:rPr>
        <w:t>Even if we, or any current or future collaborators, obtain marketing approvals for our product candidates, the terms of approvals, ongoing regulations and post-marketing restrictions for our products may limit how we manufacture and market our products, which could materially impair our ability to generate revenue.</w:t>
      </w:r>
    </w:p>
    <w:p>
      <w:pPr>
        <w:spacing w:after="0" w:line="165" w:lineRule="exact"/>
        <w:rPr>
          <w:sz w:val="20"/>
          <w:szCs w:val="20"/>
          <w:color w:val="auto"/>
        </w:rPr>
      </w:pPr>
    </w:p>
    <w:p>
      <w:pPr>
        <w:ind w:left="60" w:right="179" w:firstLine="441"/>
        <w:spacing w:after="0" w:line="272" w:lineRule="auto"/>
        <w:rPr>
          <w:sz w:val="20"/>
          <w:szCs w:val="20"/>
          <w:color w:val="auto"/>
        </w:rPr>
      </w:pPr>
      <w:r>
        <w:rPr>
          <w:rFonts w:ascii="Arial" w:cs="Arial" w:eastAsia="Arial" w:hAnsi="Arial"/>
          <w:sz w:val="17"/>
          <w:szCs w:val="17"/>
          <w:color w:val="auto"/>
        </w:rPr>
        <w:t>Once marketing approval has been granted, an approved product and its manufacturer and marketer are subject to ongoing review and extensive regulation. We, and any current or future collaborators, must therefore comply with requirements concerning advertising and promotion for any of our products for which we or our collaborators obtain marketing approval. Promotional communications with respect to drug products, biologics, and medical devices are subject to a variety of legal and regulatory restrictions and must be consistent with the information in the product’s approved labeling. Thus, if any of our product candidates receives marketing approval, the accompanying label may limit the approved use of our product, which could limit sales of the product.</w:t>
      </w:r>
    </w:p>
    <w:p>
      <w:pPr>
        <w:spacing w:after="0" w:line="177" w:lineRule="exact"/>
        <w:rPr>
          <w:sz w:val="20"/>
          <w:szCs w:val="20"/>
          <w:color w:val="auto"/>
        </w:rPr>
      </w:pPr>
    </w:p>
    <w:p>
      <w:pPr>
        <w:ind w:left="60" w:right="99" w:firstLine="441"/>
        <w:spacing w:after="0" w:line="291" w:lineRule="auto"/>
        <w:rPr>
          <w:sz w:val="20"/>
          <w:szCs w:val="20"/>
          <w:color w:val="auto"/>
        </w:rPr>
      </w:pPr>
      <w:r>
        <w:rPr>
          <w:rFonts w:ascii="Arial" w:cs="Arial" w:eastAsia="Arial" w:hAnsi="Arial"/>
          <w:sz w:val="16"/>
          <w:szCs w:val="16"/>
          <w:color w:val="auto"/>
        </w:rPr>
        <w:t>The FDA required two post-approval studies as a condition for approval of our premarket approval application for ReSure Sealant. The first post-approval study, identified as the Clinical PAS, was to enroll at least 598 patients to confirm that ReSure Sealant can be used safely by physicians in a standard cataract surgery practice and to confirm the incidence of the most prevalent adverse ocular events identified in our pivotal study of ReSure Sealant in eyes treated with ReSure Sealant. We submitted the final study report of the Clinical PAS to the FDA in June 2016, and the FDA has confirmed the Clinical PAS has been completed. The second post-approval study, identified as the Device Exposure Registry Study, is intended to link to the Medicare database to ascertain if patients are diagnosed or treated for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endophthalmitis within 30 days following cataract surgery and application of ReSure Sealant. The Device Exposure Registry Study is required to include at least 4,857 patients. In December 2015, CMS denied our application for a tracking or research code for ReSure Sealant commercial use. In July 2016, the FDA approved the Device Exposure Registry Study protocol. We are required to provide periodic reports to the FDA on the progress of this post-approval study until it is completed. We initiated enrollment in this study in December 2016 and submitted our first progress report to FDA in January 2017. Due to difficulties in establishing an acceptable way to link ReSure Sealant to the Medicare database and lack of investigator interest, we have been unable to enroll trial sites and patients, collect patient data and report study data to the FDA. On October 18, 2018, we received a warning letter from the FDA, dated October 17, 2018, relating to our compliance with data collection and information reporting obligations in this study. We appealed the warning letter from the FDA. In December 2018, the FDA rejected our appeal. A teleconference was held with the FDA in January 2019 resulting in tentative agreement on a proposed retrospective registry study of endophthalmitis rates to satisfy the Device Exposure Registry Study requirements. In December 2019, we submitted the protocol for the agreed-upon retrospective study and the prospective study outline, as required per the terms of the warning letter. We received feedback from the FDA in February 2020 and responded to the FDA in March 2020. In May 2020, the FDA approved the protocol. Subsequently, we received a close-out letter from the FDA dated September 2, 2020. We completed the retrospective study in accordance with our agreement with the FDA and submitted the final study report for the Device Exposure Registry Study to the FDA in January 2021. Following review of the results from these post-approval studies, any concerns with respect to endophthalmitis that we are unable to address due to the lack of completion of the study would negatively affect our ability to commercialize ReSure Sealant. Failure by us to conduct the Device Exposure Registry Study to the FDA’s satisfaction may result in withdrawal of the FDA’s approval of ReSure Sealant or other regulatory action.</w:t>
      </w:r>
    </w:p>
    <w:p>
      <w:pPr>
        <w:spacing w:after="0" w:line="182" w:lineRule="exact"/>
        <w:rPr>
          <w:sz w:val="20"/>
          <w:szCs w:val="20"/>
          <w:color w:val="auto"/>
        </w:rPr>
      </w:pPr>
    </w:p>
    <w:p>
      <w:pPr>
        <w:ind w:left="60" w:right="199" w:firstLine="441"/>
        <w:spacing w:after="0" w:line="26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and biologic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current or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physicians, recordkeeping, and costly post-marketing studies or clinical trials and surveillance to monitor the safety or efficacy of the product such as the requirement to implement a risk evaluation and mitigation strategy.</w:t>
      </w:r>
    </w:p>
    <w:p>
      <w:pPr>
        <w:spacing w:after="0" w:line="158" w:lineRule="exact"/>
        <w:rPr>
          <w:sz w:val="20"/>
          <w:szCs w:val="20"/>
          <w:color w:val="auto"/>
        </w:rPr>
      </w:pPr>
    </w:p>
    <w:p>
      <w:pPr>
        <w:ind w:left="60" w:right="79" w:firstLine="441"/>
        <w:spacing w:after="0" w:line="290" w:lineRule="auto"/>
        <w:rPr>
          <w:sz w:val="20"/>
          <w:szCs w:val="20"/>
          <w:color w:val="auto"/>
        </w:rPr>
      </w:pPr>
      <w:r>
        <w:rPr>
          <w:rFonts w:ascii="Arial" w:cs="Arial" w:eastAsia="Arial" w:hAnsi="Arial"/>
          <w:sz w:val="16"/>
          <w:szCs w:val="16"/>
          <w:color w:val="auto"/>
        </w:rPr>
        <w:t>Accordingly, assuming we, or any current or future collaborators, receive marketing approval for one or more of our product candidates, we, and any current or future collaborators, and our and their contract manufacturers will continue to expend time, money and effort in all areas of regulatory compliance, including manufacturing, production, product surveillance and quality control. If we, and any current or future collaborators, are not able to comply with post-approval regulatory requirements, we, and any current or future collaborators, could have the marketing approvals for our products withdrawn by regulatory authorities and our, or any current or future collaborators’, ability to market any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65"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b w:val="1"/>
          <w:bCs w:val="1"/>
          <w:i w:val="1"/>
          <w:iCs w:val="1"/>
          <w:color w:val="auto"/>
        </w:rPr>
        <w:t>We may be subject to substantial penalties if we fail to comply with regulatory requirements or if we experience unanticipated problems with our products.</w:t>
      </w:r>
    </w:p>
    <w:p>
      <w:pPr>
        <w:spacing w:after="0" w:line="170" w:lineRule="exact"/>
        <w:rPr>
          <w:sz w:val="20"/>
          <w:szCs w:val="20"/>
          <w:color w:val="auto"/>
        </w:rPr>
      </w:pPr>
    </w:p>
    <w:p>
      <w:pPr>
        <w:ind w:left="60" w:right="79" w:firstLine="441"/>
        <w:spacing w:after="0" w:line="255" w:lineRule="auto"/>
        <w:rPr>
          <w:sz w:val="20"/>
          <w:szCs w:val="20"/>
          <w:color w:val="auto"/>
        </w:rPr>
      </w:pPr>
      <w:r>
        <w:rPr>
          <w:rFonts w:ascii="Arial" w:cs="Arial" w:eastAsia="Arial" w:hAnsi="Arial"/>
          <w:sz w:val="18"/>
          <w:szCs w:val="18"/>
          <w:color w:val="auto"/>
        </w:rPr>
        <w:t>Violations of the United States Federal Food, Drug, and Cosmetic Act, or the FDCA, relating to the promotion or manufacturing of drug products, biologics or medical devices may lead to investigations by the FDA, Department of Justice, or DOJ, and state attorneys general alleging violations of the FDCA, federal and state healthcare fraud and abuse laws, as well as state consumer protection laws. In addition, later discovery of previously unknown adverse events or other problems with our products, manufacturers or manufacturing processes, or failure to comply with regulatory requirements, may yield various results, including:</w:t>
      </w:r>
    </w:p>
    <w:p>
      <w:pPr>
        <w:spacing w:after="0" w:line="192" w:lineRule="exact"/>
        <w:rPr>
          <w:sz w:val="20"/>
          <w:szCs w:val="20"/>
          <w:color w:val="auto"/>
        </w:rPr>
      </w:pPr>
    </w:p>
    <w:p>
      <w:pPr>
        <w:ind w:left="840" w:hanging="331"/>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product distribution or use of a product;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 or</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ind w:left="60" w:right="379" w:firstLine="441"/>
        <w:spacing w:after="0" w:line="279"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71"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directly or indirectly, to applicable anti-kickback, fraud and abuse and other healthcare laws and regulations, which, in the event of a violation, could expose us to criminal sanctions, civil penalties, contractual damages, reputational harm and diminished profits and future earnings.</w:t>
      </w:r>
    </w:p>
    <w:p>
      <w:pPr>
        <w:spacing w:after="0" w:line="187" w:lineRule="exact"/>
        <w:rPr>
          <w:sz w:val="20"/>
          <w:szCs w:val="20"/>
          <w:color w:val="auto"/>
        </w:rPr>
      </w:pPr>
    </w:p>
    <w:p>
      <w:pPr>
        <w:ind w:left="60" w:right="179" w:firstLine="441"/>
        <w:spacing w:after="0" w:line="293" w:lineRule="auto"/>
        <w:rPr>
          <w:sz w:val="20"/>
          <w:szCs w:val="20"/>
          <w:color w:val="auto"/>
        </w:rPr>
      </w:pPr>
      <w:r>
        <w:rPr>
          <w:rFonts w:ascii="Arial" w:cs="Arial" w:eastAsia="Arial" w:hAnsi="Arial"/>
          <w:sz w:val="16"/>
          <w:szCs w:val="16"/>
          <w:color w:val="auto"/>
        </w:rPr>
        <w:t>Healthcare providers, physicians and third-party payors will play a primary role in the recommendation and prescription and use of DEXTENZA, ReSure Sealant and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164" w:lineRule="exact"/>
        <w:rPr>
          <w:sz w:val="20"/>
          <w:szCs w:val="20"/>
          <w:color w:val="auto"/>
        </w:rPr>
      </w:pPr>
    </w:p>
    <w:p>
      <w:pPr>
        <w:ind w:left="840" w:right="219" w:hanging="331"/>
        <w:spacing w:after="0" w:line="257" w:lineRule="auto"/>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87" w:lineRule="exact"/>
        <w:rPr>
          <w:rFonts w:ascii="Arial" w:cs="Arial" w:eastAsia="Arial" w:hAnsi="Arial"/>
          <w:sz w:val="18"/>
          <w:szCs w:val="18"/>
          <w:color w:val="auto"/>
        </w:rPr>
      </w:pPr>
    </w:p>
    <w:p>
      <w:pPr>
        <w:ind w:left="840" w:right="99" w:hanging="331"/>
        <w:spacing w:after="0" w:line="273" w:lineRule="auto"/>
        <w:tabs>
          <w:tab w:leader="none" w:pos="8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right="99" w:hanging="331"/>
        <w:spacing w:after="0" w:line="263" w:lineRule="auto"/>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83" w:lineRule="exact"/>
        <w:rPr>
          <w:rFonts w:ascii="Arial" w:cs="Arial" w:eastAsia="Arial" w:hAnsi="Arial"/>
          <w:sz w:val="18"/>
          <w:szCs w:val="18"/>
          <w:color w:val="auto"/>
        </w:rPr>
      </w:pPr>
    </w:p>
    <w:p>
      <w:pPr>
        <w:ind w:left="840" w:right="459" w:hanging="331"/>
        <w:spacing w:after="0" w:line="311" w:lineRule="auto"/>
        <w:tabs>
          <w:tab w:leader="none" w:pos="8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48" w:lineRule="exact"/>
        <w:rPr>
          <w:rFonts w:ascii="Arial" w:cs="Arial" w:eastAsia="Arial" w:hAnsi="Arial"/>
          <w:sz w:val="16"/>
          <w:szCs w:val="16"/>
          <w:color w:val="auto"/>
        </w:rPr>
      </w:pPr>
    </w:p>
    <w:p>
      <w:pPr>
        <w:ind w:left="840" w:right="299" w:hanging="331"/>
        <w:spacing w:after="0" w:line="263" w:lineRule="auto"/>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products to report payments and other transfers of value to physicians and teaching hospitals, with data collection beginning in August 2013; and</w:t>
      </w:r>
    </w:p>
    <w:p>
      <w:pPr>
        <w:spacing w:after="0" w:line="183" w:lineRule="exact"/>
        <w:rPr>
          <w:rFonts w:ascii="Arial" w:cs="Arial" w:eastAsia="Arial" w:hAnsi="Arial"/>
          <w:sz w:val="18"/>
          <w:szCs w:val="18"/>
          <w:color w:val="auto"/>
        </w:rPr>
      </w:pPr>
    </w:p>
    <w:p>
      <w:pPr>
        <w:ind w:left="840" w:right="299" w:hanging="331"/>
        <w:spacing w:after="0" w:line="286" w:lineRule="auto"/>
        <w:tabs>
          <w:tab w:leader="none" w:pos="8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65" w:lineRule="exact"/>
        <w:rPr>
          <w:sz w:val="20"/>
          <w:szCs w:val="20"/>
          <w:color w:val="auto"/>
        </w:rPr>
      </w:pPr>
    </w:p>
    <w:p>
      <w:pPr>
        <w:ind w:left="60" w:right="179" w:firstLine="441"/>
        <w:spacing w:after="0" w:line="273"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may require product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left="60" w:right="79" w:firstLine="441"/>
        <w:spacing w:after="0" w:line="288" w:lineRule="auto"/>
        <w:rPr>
          <w:sz w:val="20"/>
          <w:szCs w:val="20"/>
          <w:color w:val="auto"/>
        </w:rPr>
      </w:pPr>
      <w:r>
        <w:rPr>
          <w:rFonts w:ascii="Arial" w:cs="Arial" w:eastAsia="Arial" w:hAnsi="Arial"/>
          <w:sz w:val="16"/>
          <w:szCs w:val="16"/>
          <w:color w:val="auto"/>
        </w:rPr>
        <w:t>If our operations or the operations of our present and future collaborators are found to be in violation of any of the laws described above or any governmental regulations that apply to us or them, we or they may be subject to penalties, including civil and criminal penalties, damages, fines and the curtailment or restructuring of our operations. Any penalties, damages, fines, curtailment or restructuring of our operations could adversely affect our or their financial results. We are developing and implementing a corporate compliance program designed to ensure that we will market and sell any future products that we successfully develop from our product candidates in compliance with all applicable laws and regulations, but we cannot guarantee that this program will protect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8" w:lineRule="exact"/>
        <w:rPr>
          <w:sz w:val="20"/>
          <w:szCs w:val="20"/>
          <w:color w:val="auto"/>
        </w:rPr>
      </w:pPr>
    </w:p>
    <w:p>
      <w:pPr>
        <w:ind w:left="60" w:right="79" w:firstLine="441"/>
        <w:spacing w:after="0" w:line="287" w:lineRule="auto"/>
        <w:rPr>
          <w:sz w:val="20"/>
          <w:szCs w:val="20"/>
          <w:color w:val="auto"/>
        </w:rPr>
      </w:pPr>
      <w:r>
        <w:rPr>
          <w:rFonts w:ascii="Arial" w:cs="Arial" w:eastAsia="Arial" w:hAnsi="Arial"/>
          <w:sz w:val="16"/>
          <w:szCs w:val="16"/>
          <w:color w:val="auto"/>
        </w:rPr>
        <w:t>Efforts to ensure that our business with third parties will comply with applicable healthcare laws and regulations will involve substantial costs. For example, we are engaged in an ongoing effort to improve our healthcare compliance program and establish a more robust compliance infrastructure. We may fail to establish appropriate compliance measures, and even with a stronger program in place,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Current and future legislation or executive actions may increase the difficulty and cost for us and any current or future collaborators to obtain marketing approval of and commercialize our products or product candidates and affect the prices we, or they, may obtain.</w:t>
      </w:r>
    </w:p>
    <w:p>
      <w:pPr>
        <w:spacing w:after="0" w:line="184" w:lineRule="exact"/>
        <w:rPr>
          <w:sz w:val="20"/>
          <w:szCs w:val="20"/>
          <w:color w:val="auto"/>
        </w:rPr>
      </w:pPr>
    </w:p>
    <w:p>
      <w:pPr>
        <w:ind w:left="60" w:right="99" w:firstLine="441"/>
        <w:spacing w:after="0" w:line="296"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 restrict or regulate post-approval activities and affect our ability, or the ability of any future collaborators, to profitably sell any drugs for which we, or they, obtain marketing approval. We expect that current laws, as well as other healthcare reform measures that may be adopted in the future, may result in more rigorous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coverage criteria and in additional downward pressure on the price that we, or any future collaborators, may receive for any approved drugs.</w:t>
      </w:r>
    </w:p>
    <w:p>
      <w:pPr>
        <w:spacing w:after="0" w:line="170" w:lineRule="exact"/>
        <w:rPr>
          <w:sz w:val="20"/>
          <w:szCs w:val="20"/>
          <w:color w:val="auto"/>
        </w:rPr>
      </w:pPr>
    </w:p>
    <w:p>
      <w:pPr>
        <w:ind w:left="60" w:right="419" w:firstLine="441"/>
        <w:spacing w:after="0" w:line="277" w:lineRule="auto"/>
        <w:rPr>
          <w:sz w:val="20"/>
          <w:szCs w:val="20"/>
          <w:color w:val="auto"/>
        </w:rPr>
      </w:pPr>
      <w:r>
        <w:rPr>
          <w:rFonts w:ascii="Arial" w:cs="Arial" w:eastAsia="Arial" w:hAnsi="Arial"/>
          <w:sz w:val="18"/>
          <w:szCs w:val="18"/>
          <w:color w:val="auto"/>
        </w:rPr>
        <w:t>Among the provisions of the Patient Protection and Affordable Care Act, or ACA, of potential importance to our business and our drug candidates are the following:</w:t>
      </w:r>
    </w:p>
    <w:p>
      <w:pPr>
        <w:spacing w:after="0" w:line="170" w:lineRule="exact"/>
        <w:rPr>
          <w:sz w:val="20"/>
          <w:szCs w:val="20"/>
          <w:color w:val="auto"/>
        </w:rPr>
      </w:pPr>
    </w:p>
    <w:p>
      <w:pPr>
        <w:ind w:left="840" w:right="279" w:hanging="331"/>
        <w:spacing w:after="0" w:line="277" w:lineRule="auto"/>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70" w:lineRule="exact"/>
        <w:rPr>
          <w:rFonts w:ascii="Arial" w:cs="Arial" w:eastAsia="Arial" w:hAnsi="Arial"/>
          <w:sz w:val="18"/>
          <w:szCs w:val="18"/>
          <w:color w:val="auto"/>
        </w:rPr>
      </w:pPr>
    </w:p>
    <w:p>
      <w:pPr>
        <w:ind w:left="840" w:right="719" w:hanging="331"/>
        <w:spacing w:after="0" w:line="277" w:lineRule="auto"/>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70" w:lineRule="exact"/>
        <w:rPr>
          <w:rFonts w:ascii="Arial" w:cs="Arial" w:eastAsia="Arial" w:hAnsi="Arial"/>
          <w:sz w:val="18"/>
          <w:szCs w:val="18"/>
          <w:color w:val="auto"/>
        </w:rPr>
      </w:pPr>
    </w:p>
    <w:p>
      <w:pPr>
        <w:ind w:left="840" w:right="699" w:hanging="331"/>
        <w:spacing w:after="0" w:line="342" w:lineRule="auto"/>
        <w:tabs>
          <w:tab w:leader="none" w:pos="8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expansion of healthcare fraud and abuse laws, including the civil False Claims Act and the federal Anti-Kickback Statute, new government investigative powers and enhanced penalties for noncompliance;</w:t>
      </w:r>
    </w:p>
    <w:p>
      <w:pPr>
        <w:spacing w:after="0" w:line="123" w:lineRule="exact"/>
        <w:rPr>
          <w:rFonts w:ascii="Arial" w:cs="Arial" w:eastAsia="Arial" w:hAnsi="Arial"/>
          <w:sz w:val="16"/>
          <w:szCs w:val="16"/>
          <w:color w:val="auto"/>
        </w:rPr>
      </w:pPr>
    </w:p>
    <w:p>
      <w:pPr>
        <w:jc w:val="both"/>
        <w:ind w:left="840" w:right="179" w:hanging="331"/>
        <w:spacing w:after="0" w:line="263" w:lineRule="auto"/>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to eligible beneficiaries during their coverage gap period, as a condition for the manufacturer’s outpatient drugs to be covered under Medicare Part D;</w:t>
      </w:r>
    </w:p>
    <w:p>
      <w:pPr>
        <w:spacing w:after="0" w:line="183" w:lineRule="exact"/>
        <w:rPr>
          <w:rFonts w:ascii="Arial" w:cs="Arial" w:eastAsia="Arial" w:hAnsi="Arial"/>
          <w:sz w:val="18"/>
          <w:szCs w:val="18"/>
          <w:color w:val="auto"/>
        </w:rPr>
      </w:pPr>
    </w:p>
    <w:p>
      <w:pPr>
        <w:ind w:left="840" w:hanging="331"/>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expansion of the entities eligible for discounts under the Public Health Service pharmaceutical pricing program;</w:t>
      </w:r>
    </w:p>
    <w:p>
      <w:pPr>
        <w:spacing w:after="0" w:line="248" w:lineRule="exact"/>
        <w:rPr>
          <w:rFonts w:ascii="Arial" w:cs="Arial" w:eastAsia="Arial" w:hAnsi="Arial"/>
          <w:sz w:val="16"/>
          <w:szCs w:val="16"/>
          <w:color w:val="auto"/>
        </w:rPr>
      </w:pPr>
    </w:p>
    <w:p>
      <w:pPr>
        <w:ind w:left="840" w:hanging="331"/>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225" w:lineRule="exact"/>
        <w:rPr>
          <w:rFonts w:ascii="Arial" w:cs="Arial" w:eastAsia="Arial" w:hAnsi="Arial"/>
          <w:sz w:val="18"/>
          <w:szCs w:val="18"/>
          <w:color w:val="auto"/>
        </w:rPr>
      </w:pPr>
    </w:p>
    <w:p>
      <w:pPr>
        <w:ind w:left="840" w:right="339" w:hanging="331"/>
        <w:spacing w:after="0" w:line="277" w:lineRule="auto"/>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70" w:lineRule="exact"/>
        <w:rPr>
          <w:rFonts w:ascii="Arial" w:cs="Arial" w:eastAsia="Arial" w:hAnsi="Arial"/>
          <w:sz w:val="18"/>
          <w:szCs w:val="18"/>
          <w:color w:val="auto"/>
        </w:rPr>
      </w:pPr>
    </w:p>
    <w:p>
      <w:pPr>
        <w:ind w:left="840" w:right="179" w:hanging="331"/>
        <w:spacing w:after="0" w:line="277" w:lineRule="auto"/>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60" w:right="99" w:firstLine="441"/>
        <w:spacing w:after="0" w:line="286" w:lineRule="auto"/>
        <w:rPr>
          <w:sz w:val="20"/>
          <w:szCs w:val="20"/>
          <w:color w:val="auto"/>
        </w:rPr>
      </w:pPr>
      <w:r>
        <w:rPr>
          <w:rFonts w:ascii="Arial" w:cs="Arial" w:eastAsia="Arial" w:hAnsi="Arial"/>
          <w:sz w:val="16"/>
          <w:szCs w:val="16"/>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2029 unless additional Congressional action is taken. The Coronavirus Aid, Relief, and Economic Security Act, or the CARES Act, suspended the 2% Medicare sequester from May 1, 2020 through December 31, 2020, and extended the sequester by one year, through 2030.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74" w:lineRule="exact"/>
        <w:rPr>
          <w:sz w:val="20"/>
          <w:szCs w:val="20"/>
          <w:color w:val="auto"/>
        </w:rPr>
      </w:pPr>
    </w:p>
    <w:p>
      <w:pPr>
        <w:ind w:left="60" w:right="99" w:firstLine="441"/>
        <w:spacing w:after="0" w:line="290" w:lineRule="auto"/>
        <w:rPr>
          <w:sz w:val="20"/>
          <w:szCs w:val="20"/>
          <w:color w:val="auto"/>
        </w:rPr>
      </w:pPr>
      <w:r>
        <w:rPr>
          <w:rFonts w:ascii="Arial" w:cs="Arial" w:eastAsia="Arial" w:hAnsi="Arial"/>
          <w:sz w:val="16"/>
          <w:szCs w:val="16"/>
          <w:color w:val="auto"/>
        </w:rPr>
        <w:t>Since enactment of the ACA, there have been, and continue to be, numerous legal challenges and Congressional actions to repeal and replace provisions of the law. For example, with enactment of the Tax Cuts and Jobs Act of 2017, or the TCJA,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affirmed the lower court’s ruling that the individual mandate portion of the ACA is unconstitutional and it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remanded the case to the district court for reconsideration of the severability question and additional analysis of the provisions of the ACA. Thereafter, the U.S. Supreme Court agreed to hear this case. Oral argument in the case took place on November 10, 2020. On February 10, 2021, the Biden Administration withdrew the federal government’s support for overturning the ACA. A ruling by the U.S. Supreme Court is expected sometime this year. Litigation and legislation over the ACA are likely to continue, with unpredictable and uncertain results.</w:t>
      </w:r>
    </w:p>
    <w:p>
      <w:pPr>
        <w:spacing w:after="0" w:line="176" w:lineRule="exact"/>
        <w:rPr>
          <w:sz w:val="20"/>
          <w:szCs w:val="20"/>
          <w:color w:val="auto"/>
        </w:rPr>
      </w:pPr>
    </w:p>
    <w:p>
      <w:pPr>
        <w:ind w:left="60" w:right="139" w:firstLine="441"/>
        <w:spacing w:after="0" w:line="288" w:lineRule="auto"/>
        <w:rPr>
          <w:sz w:val="20"/>
          <w:szCs w:val="20"/>
          <w:color w:val="auto"/>
        </w:rPr>
      </w:pPr>
      <w:r>
        <w:rPr>
          <w:rFonts w:ascii="Arial" w:cs="Arial" w:eastAsia="Arial" w:hAnsi="Arial"/>
          <w:sz w:val="16"/>
          <w:szCs w:val="16"/>
          <w:color w:val="auto"/>
        </w:rPr>
        <w:t>In addition, the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or PA, and step therapy, or ST, for six protected classes of drugs, with certain exceptions, permit plans to implement PA and ST in Medicare Part B drugs; and change the definition of “negotiated prices” while adding a definition of “price concession” in the regulations. It is unclear whether these proposed changes we be accepted, and if so, what effect such changes will have on our business. Litigation and legislation over the ACA are likely to continue, with unpredictable and uncertain results.</w:t>
      </w:r>
    </w:p>
    <w:p>
      <w:pPr>
        <w:spacing w:after="0" w:line="168" w:lineRule="exact"/>
        <w:rPr>
          <w:sz w:val="20"/>
          <w:szCs w:val="20"/>
          <w:color w:val="auto"/>
        </w:rPr>
      </w:pPr>
    </w:p>
    <w:p>
      <w:pPr>
        <w:ind w:left="60" w:right="99" w:firstLine="441"/>
        <w:spacing w:after="0" w:line="286" w:lineRule="auto"/>
        <w:rPr>
          <w:sz w:val="20"/>
          <w:szCs w:val="20"/>
          <w:color w:val="auto"/>
        </w:rPr>
      </w:pPr>
      <w:r>
        <w:rPr>
          <w:rFonts w:ascii="Arial" w:cs="Arial" w:eastAsia="Arial" w:hAnsi="Arial"/>
          <w:sz w:val="16"/>
          <w:szCs w:val="16"/>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issued a new Executive Order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 This Executive Order also directs the U.S. Department of Health and Human Services to create a special enrollment period for the Health Insurance Marketplace in response to the COVID-19 pandemic.</w:t>
      </w:r>
    </w:p>
    <w:p>
      <w:pPr>
        <w:spacing w:after="0" w:line="174" w:lineRule="exact"/>
        <w:rPr>
          <w:sz w:val="20"/>
          <w:szCs w:val="20"/>
          <w:color w:val="auto"/>
        </w:rPr>
      </w:pPr>
    </w:p>
    <w:p>
      <w:pPr>
        <w:ind w:left="60" w:right="339" w:firstLine="441"/>
        <w:spacing w:after="0" w:line="342" w:lineRule="auto"/>
        <w:rPr>
          <w:sz w:val="20"/>
          <w:szCs w:val="20"/>
          <w:color w:val="auto"/>
        </w:rPr>
      </w:pPr>
      <w:r>
        <w:rPr>
          <w:rFonts w:ascii="Arial" w:cs="Arial" w:eastAsia="Arial" w:hAnsi="Arial"/>
          <w:sz w:val="16"/>
          <w:szCs w:val="16"/>
          <w:color w:val="auto"/>
        </w:rPr>
        <w:t>The prices of prescription pharmaceuticals in the United States and foreign jurisdictions is subject to considerable legislative and executive actions and could impact the prices we obtain for our products, if and when licensed.</w:t>
      </w:r>
    </w:p>
    <w:p>
      <w:pPr>
        <w:spacing w:after="0" w:line="124" w:lineRule="exact"/>
        <w:rPr>
          <w:sz w:val="20"/>
          <w:szCs w:val="20"/>
          <w:color w:val="auto"/>
        </w:rPr>
      </w:pPr>
    </w:p>
    <w:p>
      <w:pPr>
        <w:ind w:left="60" w:right="79" w:firstLine="441"/>
        <w:spacing w:after="0" w:line="268"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products. To those ends, President Trump issued several Executive Orders intended to lower the costs of prescription drug products. Certain of these Executive Orders are reflected in recently promulgated regulations, including an interim final rule implementing President Trump’s most favored nation model, but such final rule is currently subject to a nationwide preliminary injunction. It remains to be seen whether these Executive Orders and resulting regulations will remain in force during the Biden Administration. Further,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184" w:lineRule="exact"/>
        <w:rPr>
          <w:sz w:val="20"/>
          <w:szCs w:val="20"/>
          <w:color w:val="auto"/>
        </w:rPr>
      </w:pPr>
    </w:p>
    <w:p>
      <w:pPr>
        <w:ind w:left="60" w:right="299" w:firstLine="441"/>
        <w:spacing w:after="0" w:line="293"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59" w:lineRule="auto"/>
        <w:rPr>
          <w:sz w:val="20"/>
          <w:szCs w:val="20"/>
          <w:color w:val="auto"/>
        </w:rPr>
      </w:pPr>
      <w:r>
        <w:rPr>
          <w:rFonts w:ascii="Arial" w:cs="Arial" w:eastAsia="Arial" w:hAnsi="Arial"/>
          <w:sz w:val="18"/>
          <w:szCs w:val="18"/>
          <w:color w:val="auto"/>
        </w:rPr>
        <w:t>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7" w:lineRule="exact"/>
        <w:rPr>
          <w:sz w:val="20"/>
          <w:szCs w:val="20"/>
          <w:color w:val="auto"/>
        </w:rPr>
      </w:pPr>
    </w:p>
    <w:p>
      <w:pPr>
        <w:ind w:left="60" w:right="99" w:firstLine="441"/>
        <w:spacing w:after="0" w:line="293" w:lineRule="auto"/>
        <w:rPr>
          <w:sz w:val="20"/>
          <w:szCs w:val="20"/>
          <w:color w:val="auto"/>
        </w:rPr>
      </w:pPr>
      <w:r>
        <w:rPr>
          <w:rFonts w:ascii="Arial" w:cs="Arial" w:eastAsia="Arial" w:hAnsi="Arial"/>
          <w:sz w:val="16"/>
          <w:szCs w:val="16"/>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64"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87" w:lineRule="exact"/>
        <w:rPr>
          <w:sz w:val="20"/>
          <w:szCs w:val="20"/>
          <w:color w:val="auto"/>
        </w:rPr>
      </w:pPr>
    </w:p>
    <w:p>
      <w:pPr>
        <w:ind w:left="60" w:right="79" w:firstLine="441"/>
        <w:spacing w:after="0" w:line="284"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178" w:lineRule="exact"/>
        <w:rPr>
          <w:sz w:val="20"/>
          <w:szCs w:val="20"/>
          <w:color w:val="auto"/>
        </w:rPr>
      </w:pPr>
    </w:p>
    <w:p>
      <w:pPr>
        <w:ind w:left="60" w:right="79" w:firstLine="441"/>
        <w:spacing w:after="0" w:line="286" w:lineRule="auto"/>
        <w:rPr>
          <w:sz w:val="20"/>
          <w:szCs w:val="20"/>
          <w:color w:val="auto"/>
        </w:rPr>
      </w:pPr>
      <w:r>
        <w:rPr>
          <w:rFonts w:ascii="Arial" w:cs="Arial" w:eastAsia="Arial" w:hAnsi="Arial"/>
          <w:sz w:val="16"/>
          <w:szCs w:val="16"/>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CCPA—which went into effect on January 1, 2020—is creating similar risks and obligations as those created by GDPR, though the CCPA does exempt certain information collected as part of a clinical trial subject to the Federal Policy for the Protection of Human Subjects, known as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441"/>
        <w:spacing w:after="0" w:line="289"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166"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84" w:lineRule="exact"/>
        <w:rPr>
          <w:sz w:val="20"/>
          <w:szCs w:val="20"/>
          <w:color w:val="auto"/>
        </w:rPr>
      </w:pPr>
    </w:p>
    <w:p>
      <w:pPr>
        <w:ind w:left="60" w:right="99" w:firstLine="441"/>
        <w:spacing w:after="0" w:line="289" w:lineRule="auto"/>
        <w:rPr>
          <w:sz w:val="20"/>
          <w:szCs w:val="20"/>
          <w:color w:val="auto"/>
        </w:rPr>
      </w:pPr>
      <w:r>
        <w:rPr>
          <w:rFonts w:ascii="Arial" w:cs="Arial" w:eastAsia="Arial" w:hAnsi="Arial"/>
          <w:sz w:val="16"/>
          <w:szCs w:val="16"/>
          <w:color w:val="auto"/>
        </w:rPr>
        <w:t>As we expand our operations outside of the United States, such as we have begun to do with our collaboration with AffaMed,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66" w:lineRule="exact"/>
        <w:rPr>
          <w:sz w:val="20"/>
          <w:szCs w:val="20"/>
          <w:color w:val="auto"/>
        </w:rPr>
      </w:pPr>
    </w:p>
    <w:p>
      <w:pPr>
        <w:ind w:left="60" w:right="179" w:firstLine="441"/>
        <w:spacing w:after="0" w:line="287"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w:t>
      </w:r>
    </w:p>
    <w:p>
      <w:pPr>
        <w:spacing w:after="0" w:line="2"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auto"/>
        </w:rPr>
        <w:t>officials. Certain payments to hospitals in connection with clinical trials and other work have been deemed to be improper payments to government officials and have led to FCPA enforcement actions.</w:t>
      </w:r>
    </w:p>
    <w:p>
      <w:pPr>
        <w:spacing w:after="0" w:line="185" w:lineRule="exact"/>
        <w:rPr>
          <w:sz w:val="20"/>
          <w:szCs w:val="20"/>
          <w:color w:val="auto"/>
        </w:rPr>
      </w:pPr>
    </w:p>
    <w:p>
      <w:pPr>
        <w:ind w:left="60" w:right="119" w:firstLine="441"/>
        <w:spacing w:after="0" w:line="272"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such as the U.K. Bribery Act 2010. Infringement of these laws could result in substantial fines and imprisonment.</w:t>
      </w:r>
    </w:p>
    <w:p>
      <w:pPr>
        <w:spacing w:after="0" w:line="177" w:lineRule="exact"/>
        <w:rPr>
          <w:sz w:val="20"/>
          <w:szCs w:val="20"/>
          <w:color w:val="auto"/>
        </w:rPr>
      </w:pPr>
    </w:p>
    <w:p>
      <w:pPr>
        <w:ind w:left="60" w:right="79" w:firstLine="441"/>
        <w:spacing w:after="0" w:line="273" w:lineRule="auto"/>
        <w:rPr>
          <w:sz w:val="20"/>
          <w:szCs w:val="20"/>
          <w:color w:val="auto"/>
        </w:rPr>
      </w:pPr>
      <w:r>
        <w:rPr>
          <w:rFonts w:ascii="Arial" w:cs="Arial" w:eastAsia="Arial" w:hAnsi="Arial"/>
          <w:sz w:val="17"/>
          <w:szCs w:val="17"/>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78" w:lineRule="exact"/>
        <w:rPr>
          <w:sz w:val="20"/>
          <w:szCs w:val="20"/>
          <w:color w:val="auto"/>
        </w:rPr>
      </w:pPr>
    </w:p>
    <w:p>
      <w:pPr>
        <w:jc w:val="both"/>
        <w:ind w:left="60" w:right="239" w:firstLine="441"/>
        <w:spacing w:after="0" w:line="311" w:lineRule="auto"/>
        <w:rPr>
          <w:sz w:val="20"/>
          <w:szCs w:val="20"/>
          <w:color w:val="auto"/>
        </w:rPr>
      </w:pPr>
      <w:r>
        <w:rPr>
          <w:rFonts w:ascii="Arial" w:cs="Arial" w:eastAsia="Arial" w:hAnsi="Arial"/>
          <w:sz w:val="16"/>
          <w:szCs w:val="16"/>
          <w:color w:val="auto"/>
        </w:rPr>
        <w:t>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49" w:lineRule="exact"/>
        <w:rPr>
          <w:sz w:val="20"/>
          <w:szCs w:val="20"/>
          <w:color w:val="auto"/>
        </w:rPr>
      </w:pPr>
    </w:p>
    <w:p>
      <w:pPr>
        <w:ind w:left="60" w:right="219" w:firstLine="441"/>
        <w:spacing w:after="0" w:line="259"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also may suspend or bar issuers from trading securities on U.S. exchanges for violations of the FCPA’s accounting provisions.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w:t>
      </w:r>
    </w:p>
    <w:p>
      <w:pPr>
        <w:spacing w:after="0" w:line="170" w:lineRule="exact"/>
        <w:rPr>
          <w:sz w:val="20"/>
          <w:szCs w:val="20"/>
          <w:color w:val="auto"/>
        </w:rPr>
      </w:pPr>
    </w:p>
    <w:p>
      <w:pPr>
        <w:ind w:left="60" w:right="59" w:firstLine="441"/>
        <w:spacing w:after="0" w:line="268"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to provide accurate information to the FDA, to comply with manufacturing standards we have established, to comply with federal and state health-care fraud and abuse laws and regulations,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2" w:lineRule="exact"/>
        <w:rPr>
          <w:sz w:val="20"/>
          <w:szCs w:val="20"/>
          <w:color w:val="auto"/>
        </w:rPr>
      </w:pPr>
    </w:p>
    <w:p>
      <w:pPr>
        <w:ind w:left="60" w:right="319"/>
        <w:spacing w:after="0" w:line="381" w:lineRule="auto"/>
        <w:rPr>
          <w:sz w:val="20"/>
          <w:szCs w:val="20"/>
          <w:color w:val="auto"/>
        </w:rPr>
      </w:pPr>
      <w:r>
        <w:rPr>
          <w:rFonts w:ascii="Arial" w:cs="Arial" w:eastAsia="Arial" w:hAnsi="Arial"/>
          <w:sz w:val="15"/>
          <w:szCs w:val="15"/>
          <w:b w:val="1"/>
          <w:bCs w:val="1"/>
          <w:i w:val="1"/>
          <w:iCs w:val="1"/>
          <w:color w:val="auto"/>
        </w:rPr>
        <w:t>If we, our collaborators or any third-party manufacturers we engage in the future fail to comply with environmental, health and safety laws and regulations, we could become subject to fines or penalties or incur significant costs.</w:t>
      </w:r>
    </w:p>
    <w:p>
      <w:pPr>
        <w:spacing w:after="0" w:line="100" w:lineRule="exact"/>
        <w:rPr>
          <w:sz w:val="20"/>
          <w:szCs w:val="20"/>
          <w:color w:val="auto"/>
        </w:rPr>
      </w:pPr>
    </w:p>
    <w:p>
      <w:pPr>
        <w:ind w:left="60" w:right="119" w:firstLine="441"/>
        <w:spacing w:after="0" w:line="270" w:lineRule="auto"/>
        <w:rPr>
          <w:sz w:val="20"/>
          <w:szCs w:val="20"/>
          <w:color w:val="auto"/>
        </w:rPr>
      </w:pPr>
      <w:r>
        <w:rPr>
          <w:rFonts w:ascii="Arial" w:cs="Arial" w:eastAsia="Arial" w:hAnsi="Arial"/>
          <w:sz w:val="17"/>
          <w:szCs w:val="17"/>
          <w:color w:val="auto"/>
        </w:rPr>
        <w:t>We, our collaborators and any third-party manufacturers we may engage in the future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materials, including chemicals and biological materials, and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1" w:lineRule="exact"/>
        <w:rPr>
          <w:sz w:val="20"/>
          <w:szCs w:val="20"/>
          <w:color w:val="auto"/>
        </w:rPr>
      </w:pPr>
    </w:p>
    <w:p>
      <w:pPr>
        <w:jc w:val="both"/>
        <w:ind w:left="60" w:right="239" w:firstLine="441"/>
        <w:spacing w:after="0" w:line="257"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8" w:lineRule="exact"/>
        <w:rPr>
          <w:sz w:val="20"/>
          <w:szCs w:val="20"/>
          <w:color w:val="auto"/>
        </w:rPr>
      </w:pPr>
    </w:p>
    <w:p>
      <w:pPr>
        <w:ind w:left="60" w:right="99" w:firstLine="441"/>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7" w:lineRule="exact"/>
        <w:rPr>
          <w:sz w:val="20"/>
          <w:szCs w:val="20"/>
          <w:color w:val="auto"/>
        </w:rPr>
      </w:pPr>
    </w:p>
    <w:p>
      <w:pPr>
        <w:ind w:left="60" w:right="199" w:firstLine="441"/>
        <w:spacing w:after="0" w:line="301" w:lineRule="auto"/>
        <w:rPr>
          <w:sz w:val="20"/>
          <w:szCs w:val="20"/>
          <w:color w:val="auto"/>
        </w:rPr>
      </w:pPr>
      <w:r>
        <w:rPr>
          <w:rFonts w:ascii="Arial" w:cs="Arial" w:eastAsia="Arial" w:hAnsi="Arial"/>
          <w:sz w:val="16"/>
          <w:szCs w:val="16"/>
          <w:color w:val="auto"/>
        </w:rPr>
        <w:t>Further, with respect to the operations of any current or future collaborators or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157" w:lineRule="exact"/>
        <w:rPr>
          <w:sz w:val="20"/>
          <w:szCs w:val="20"/>
          <w:color w:val="auto"/>
        </w:rPr>
      </w:pPr>
    </w:p>
    <w:p>
      <w:pPr>
        <w:ind w:left="60" w:right="899"/>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170" w:lineRule="exact"/>
        <w:rPr>
          <w:sz w:val="20"/>
          <w:szCs w:val="20"/>
          <w:color w:val="auto"/>
        </w:rPr>
      </w:pPr>
    </w:p>
    <w:p>
      <w:pPr>
        <w:ind w:left="60" w:right="99" w:firstLine="441"/>
        <w:spacing w:after="0" w:line="296" w:lineRule="auto"/>
        <w:rPr>
          <w:sz w:val="20"/>
          <w:szCs w:val="20"/>
          <w:color w:val="auto"/>
        </w:rPr>
      </w:pPr>
      <w:r>
        <w:rPr>
          <w:rFonts w:ascii="Arial" w:cs="Arial" w:eastAsia="Arial" w:hAnsi="Arial"/>
          <w:sz w:val="16"/>
          <w:szCs w:val="16"/>
          <w:color w:val="auto"/>
        </w:rPr>
        <w:t>As of December 31, 2020, we had net operating loss, or NOL, carryforwards for federal and state income tax purposes of $354.7 million and $274.9 million, respectively. The federal and state NOLs generated for annual periods prior to January 1, 2018 begin to expire in 2026. Our federal NOLs generated for the years ended after December 31, 2018, which amounted to a total of $229.1 million, can be carried forward indefinitely. As of December 31, 2020, we also had available research and development tax credit carryforwards for federal and state income tax purposes of $9.2</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5" w:lineRule="auto"/>
        <w:rPr>
          <w:sz w:val="20"/>
          <w:szCs w:val="20"/>
          <w:color w:val="auto"/>
        </w:rPr>
      </w:pPr>
      <w:r>
        <w:rPr>
          <w:rFonts w:ascii="Arial" w:cs="Arial" w:eastAsia="Arial" w:hAnsi="Arial"/>
          <w:sz w:val="16"/>
          <w:szCs w:val="16"/>
          <w:color w:val="auto"/>
        </w:rPr>
        <w:t>million and $5.0 million , respectively, which begin to expire in 2026 and 2025, respectively. These NOL and tax credit carryforwards could expire unused and be unavailable to offset our future income tax liabilities. As described below under the heading “</w:t>
      </w:r>
      <w:r>
        <w:rPr>
          <w:rFonts w:ascii="Arial" w:cs="Arial" w:eastAsia="Arial" w:hAnsi="Arial"/>
          <w:sz w:val="16"/>
          <w:szCs w:val="16"/>
          <w:i w:val="1"/>
          <w:iCs w:val="1"/>
          <w:color w:val="auto"/>
        </w:rPr>
        <w:t>Changes in tax laws or in their implementation or interpretation may adversely affect our business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condition</w:t>
      </w:r>
      <w:r>
        <w:rPr>
          <w:rFonts w:ascii="Arial" w:cs="Arial" w:eastAsia="Arial" w:hAnsi="Arial"/>
          <w:sz w:val="16"/>
          <w:szCs w:val="16"/>
          <w:color w:val="auto"/>
        </w:rPr>
        <w:t>,” the Tax Cuts and Jobs Act of 2017, or the 2017 Tax Act, as amended by the CARES Act,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U.S. federal tax rates and the rules governing NOL carryforwards that may significantly impact our ability to utilize our net operating losses, or NOLs, to offset taxable income in the future. Nor is it clear how various states will respond to the 2017 Tax Act; the Families First Coronavirus Response Act, or FFCR Act; or the CARES Act. In addition, state NOLs generated in one state cannot be used to offset income generated in another state. Furthermore, the use of NOL carryforwards may become subject to an annual limitation under Section 382 of the Internal Revenue Code of 1986, as amended, or the Code, and similar state provisions in the event of certain cumulative changes in the ownership interest of significant shareholders in excess of 50 percent over a three-year period. This could limit the amount of NOL carryforwards that can be utilized annually to offset future taxable income or tax liabilities. The amount of the annual limitation is determined based on the value of a company immediately prior to the ownership change. We have not conducted a full study to assess whether a change of control has occurred or whether there have been multiple changes of control since inception due to the significant complexity and cost associated with such a study. As a result, we are uncertain as to whether we have completed one or more transactions since our inception which may have resulted in an ownership change under Section 382 of the Code. In addition, there may be changes in our stock ownership, some of which are outside of our control, that could result in ownership changes in the future. For these reasons, even if we attain profitability, we may be unable to use a material portion of our NOLs and other tax attributes.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ind w:left="60" w:right="839"/>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70" w:lineRule="exact"/>
        <w:rPr>
          <w:sz w:val="20"/>
          <w:szCs w:val="20"/>
          <w:color w:val="auto"/>
        </w:rPr>
      </w:pPr>
    </w:p>
    <w:p>
      <w:pPr>
        <w:ind w:left="60" w:right="179" w:firstLine="441"/>
        <w:spacing w:after="0" w:line="257" w:lineRule="auto"/>
        <w:rPr>
          <w:sz w:val="20"/>
          <w:szCs w:val="20"/>
          <w:color w:val="auto"/>
        </w:rPr>
      </w:pPr>
      <w:r>
        <w:rPr>
          <w:rFonts w:ascii="Arial" w:cs="Arial" w:eastAsia="Arial" w:hAnsi="Arial"/>
          <w:sz w:val="18"/>
          <w:szCs w:val="18"/>
          <w:color w:val="auto"/>
        </w:rPr>
        <w:t>We remain highly dependent on the research and development, clinical and business development expertise of our principal members of our management, scientific and clinical team, including Antony Mattessich, our President and Chief Executive Officer. Although we have entered into employment agreements with our executive officers, each of them may terminate their employment with us at any time. We do not maintain “key person” insurance for any of our executives or other employees.</w:t>
      </w:r>
    </w:p>
    <w:p>
      <w:pPr>
        <w:spacing w:after="0" w:line="188" w:lineRule="exact"/>
        <w:rPr>
          <w:sz w:val="20"/>
          <w:szCs w:val="20"/>
          <w:color w:val="auto"/>
        </w:rPr>
      </w:pPr>
    </w:p>
    <w:p>
      <w:pPr>
        <w:ind w:left="60" w:right="79" w:firstLine="441"/>
        <w:spacing w:after="0" w:line="268"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4"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b w:val="1"/>
          <w:bCs w:val="1"/>
          <w:i w:val="1"/>
          <w:iCs w:val="1"/>
          <w:color w:val="auto"/>
        </w:rPr>
        <w:t>We have in the past reduced the size of our organization, and we may be required to do so again in the future, which may cause us to encounter difficulties in managing our business as a result of any such reduction, or attrition that may occur following such reduction, which could disrupt our operations. In addition, we may not achieve anticipated benefits and savings from such a reduction.</w:t>
      </w:r>
    </w:p>
    <w:p>
      <w:pPr>
        <w:spacing w:after="0" w:line="187" w:lineRule="exact"/>
        <w:rPr>
          <w:sz w:val="20"/>
          <w:szCs w:val="20"/>
          <w:color w:val="auto"/>
        </w:rPr>
      </w:pPr>
    </w:p>
    <w:p>
      <w:pPr>
        <w:ind w:left="60" w:right="179" w:firstLine="441"/>
        <w:spacing w:after="0" w:line="259" w:lineRule="auto"/>
        <w:rPr>
          <w:sz w:val="20"/>
          <w:szCs w:val="20"/>
          <w:color w:val="auto"/>
        </w:rPr>
      </w:pPr>
      <w:r>
        <w:rPr>
          <w:rFonts w:ascii="Arial" w:cs="Arial" w:eastAsia="Arial" w:hAnsi="Arial"/>
          <w:sz w:val="18"/>
          <w:szCs w:val="18"/>
          <w:color w:val="auto"/>
        </w:rPr>
        <w:t>In November 2019, we reduced our workforce by 55 employees, representing approximately 22% of our workforce. We completed the restructuring and recorded the restructuring charges in the fourth quarter of 2019. We may in the future be required to reduce the size of our organization as part of an initiative to reduce expenses and reprioritize our use of resources.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99" w:firstLine="441"/>
        <w:spacing w:after="0" w:line="263" w:lineRule="auto"/>
        <w:rPr>
          <w:sz w:val="20"/>
          <w:szCs w:val="20"/>
          <w:color w:val="auto"/>
        </w:rPr>
      </w:pPr>
      <w:r>
        <w:rPr>
          <w:rFonts w:ascii="Arial" w:cs="Arial" w:eastAsia="Arial" w:hAnsi="Arial"/>
          <w:sz w:val="18"/>
          <w:szCs w:val="18"/>
          <w:color w:val="auto"/>
        </w:rPr>
        <w:t>Any restructuring and additional measures we might take to reduce costs could divert management attention, yield attrition beyond our intended reduction if force, reduce employee morale, or cause us to delay, limit, reduce or eliminate certain product development plans.</w:t>
      </w:r>
    </w:p>
    <w:p>
      <w:pPr>
        <w:spacing w:after="0" w:line="184"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We expect to expand our development, regulatory and manufacturing capabilities and potentially implement sales, marketing and distribution capabilities, and as a result, we may encounter difficulties in managing our growth, which could disrupt our operations.</w:t>
      </w:r>
    </w:p>
    <w:p>
      <w:pPr>
        <w:spacing w:after="0" w:line="184" w:lineRule="exact"/>
        <w:rPr>
          <w:sz w:val="20"/>
          <w:szCs w:val="20"/>
          <w:color w:val="auto"/>
        </w:rPr>
      </w:pPr>
    </w:p>
    <w:p>
      <w:pPr>
        <w:ind w:left="60" w:right="119" w:firstLine="441"/>
        <w:spacing w:after="0" w:line="269" w:lineRule="auto"/>
        <w:rPr>
          <w:sz w:val="20"/>
          <w:szCs w:val="20"/>
          <w:color w:val="auto"/>
        </w:rPr>
      </w:pPr>
      <w:r>
        <w:rPr>
          <w:rFonts w:ascii="Arial" w:cs="Arial" w:eastAsia="Arial" w:hAnsi="Arial"/>
          <w:sz w:val="17"/>
          <w:szCs w:val="17"/>
          <w:color w:val="auto"/>
        </w:rPr>
        <w:t>We expect our drug development, clinical, regulatory affairs, manufacturing and our sales and marketing capabilities to grow as we commercialize DEXTENZA and any product candidates that may receive marketing approval. To manage our anticipated future growth, we must continue to implement and improve our managerial, operational and financial systems, expand our facilities and continue to recruit and train additional qualified personnel. We relocated our corporate headquarters to 24 Crosby Drive, Bedford, Massachusetts to accommodate our growth. We are evaluating expanding our manufacturing operations into 15 Crosby Drive, Bedford, Massachusetts while maintaining our existing operations located at 36 Crosby Drive, Bedford, Massachusetts.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all matters submitted to stockholders for approval.</w:t>
      </w:r>
    </w:p>
    <w:p>
      <w:pPr>
        <w:spacing w:after="0" w:line="170" w:lineRule="exact"/>
        <w:rPr>
          <w:sz w:val="20"/>
          <w:szCs w:val="20"/>
          <w:color w:val="auto"/>
        </w:rPr>
      </w:pPr>
    </w:p>
    <w:p>
      <w:pPr>
        <w:ind w:left="60" w:right="159" w:firstLine="441"/>
        <w:spacing w:after="0" w:line="257" w:lineRule="auto"/>
        <w:rPr>
          <w:sz w:val="20"/>
          <w:szCs w:val="20"/>
          <w:color w:val="auto"/>
        </w:rPr>
      </w:pPr>
      <w:r>
        <w:rPr>
          <w:rFonts w:ascii="Arial" w:cs="Arial" w:eastAsia="Arial" w:hAnsi="Arial"/>
          <w:sz w:val="18"/>
          <w:szCs w:val="18"/>
          <w:color w:val="auto"/>
        </w:rPr>
        <w:t>Our executive officers, directors and principal stockholders, in the aggregate, beneficially own a large portion of our capital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concentration of voting power may:</w:t>
      </w:r>
    </w:p>
    <w:p>
      <w:pPr>
        <w:spacing w:after="0" w:line="225" w:lineRule="exact"/>
        <w:rPr>
          <w:sz w:val="20"/>
          <w:szCs w:val="20"/>
          <w:color w:val="auto"/>
        </w:rPr>
      </w:pPr>
    </w:p>
    <w:p>
      <w:pPr>
        <w:ind w:left="840" w:hanging="331"/>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entrench our management and the board of directors; or</w:t>
      </w:r>
    </w:p>
    <w:p>
      <w:pPr>
        <w:spacing w:after="0" w:line="225" w:lineRule="exact"/>
        <w:rPr>
          <w:rFonts w:ascii="Arial" w:cs="Arial" w:eastAsia="Arial" w:hAnsi="Arial"/>
          <w:sz w:val="18"/>
          <w:szCs w:val="18"/>
          <w:color w:val="auto"/>
        </w:rPr>
      </w:pPr>
    </w:p>
    <w:p>
      <w:pPr>
        <w:ind w:left="840" w:right="439" w:hanging="331"/>
        <w:spacing w:after="0" w:line="277" w:lineRule="auto"/>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on terms that other stockholders may desire.</w:t>
      </w:r>
    </w:p>
    <w:p>
      <w:pPr>
        <w:spacing w:after="0" w:line="170"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184" w:lineRule="exact"/>
        <w:rPr>
          <w:sz w:val="20"/>
          <w:szCs w:val="20"/>
          <w:color w:val="auto"/>
        </w:rPr>
      </w:pPr>
    </w:p>
    <w:p>
      <w:pPr>
        <w:ind w:left="60" w:right="139" w:firstLine="441"/>
        <w:spacing w:after="0" w:line="254"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2" w:lineRule="exact"/>
        <w:rPr>
          <w:sz w:val="20"/>
          <w:szCs w:val="20"/>
          <w:color w:val="auto"/>
        </w:rPr>
      </w:pPr>
    </w:p>
    <w:p>
      <w:pPr>
        <w:ind w:left="840" w:hanging="331"/>
        <w:spacing w:after="0"/>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provide for a classified board of directors such that only one of three classes of directors is elected each year;</w:t>
      </w:r>
    </w:p>
    <w:p>
      <w:pPr>
        <w:spacing w:after="0" w:line="248" w:lineRule="exact"/>
        <w:rPr>
          <w:rFonts w:ascii="Arial" w:cs="Arial" w:eastAsia="Arial" w:hAnsi="Arial"/>
          <w:sz w:val="16"/>
          <w:szCs w:val="16"/>
          <w:color w:val="auto"/>
        </w:rPr>
      </w:pPr>
    </w:p>
    <w:p>
      <w:pPr>
        <w:ind w:left="840" w:hanging="331"/>
        <w:spacing w:after="0"/>
        <w:tabs>
          <w:tab w:leader="none" w:pos="8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hanging="331"/>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25" w:lineRule="exact"/>
        <w:rPr>
          <w:rFonts w:ascii="Arial" w:cs="Arial" w:eastAsia="Arial" w:hAnsi="Arial"/>
          <w:sz w:val="18"/>
          <w:szCs w:val="18"/>
          <w:color w:val="auto"/>
        </w:rPr>
      </w:pPr>
    </w:p>
    <w:p>
      <w:pPr>
        <w:ind w:left="840" w:right="179" w:hanging="331"/>
        <w:spacing w:after="0" w:line="277"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840" w:right="339" w:hanging="331"/>
        <w:spacing w:after="0" w:line="277"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840" w:right="159" w:hanging="331"/>
        <w:spacing w:after="0" w:line="286" w:lineRule="auto"/>
        <w:tabs>
          <w:tab w:leader="none" w:pos="8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65" w:lineRule="exact"/>
        <w:rPr>
          <w:rFonts w:ascii="Arial" w:cs="Arial" w:eastAsia="Arial" w:hAnsi="Arial"/>
          <w:sz w:val="17"/>
          <w:szCs w:val="17"/>
          <w:color w:val="auto"/>
        </w:rPr>
      </w:pPr>
    </w:p>
    <w:p>
      <w:pPr>
        <w:ind w:left="840" w:right="119" w:hanging="331"/>
        <w:spacing w:after="0" w:line="277"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left="60" w:right="79" w:firstLine="441"/>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7"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b w:val="1"/>
          <w:bCs w:val="1"/>
          <w:i w:val="1"/>
          <w:iCs w:val="1"/>
          <w:color w:val="auto"/>
        </w:rPr>
        <w:t>We have recently been subject to legal proceedings related to the decline in our stock price, and we could be subject to similar legal proceedings in the future, which could distract our management and could result in substantial costs or large judgments against us.</w:t>
      </w:r>
    </w:p>
    <w:p>
      <w:pPr>
        <w:spacing w:after="0" w:line="184" w:lineRule="exact"/>
        <w:rPr>
          <w:sz w:val="20"/>
          <w:szCs w:val="20"/>
          <w:color w:val="auto"/>
        </w:rPr>
      </w:pPr>
    </w:p>
    <w:p>
      <w:pPr>
        <w:jc w:val="both"/>
        <w:ind w:left="60" w:right="139" w:firstLine="441"/>
        <w:spacing w:after="0" w:line="257" w:lineRule="auto"/>
        <w:rPr>
          <w:sz w:val="20"/>
          <w:szCs w:val="20"/>
          <w:color w:val="auto"/>
        </w:rPr>
      </w:pPr>
      <w:r>
        <w:rPr>
          <w:rFonts w:ascii="Arial" w:cs="Arial" w:eastAsia="Arial" w:hAnsi="Arial"/>
          <w:sz w:val="18"/>
          <w:szCs w:val="18"/>
          <w:color w:val="auto"/>
        </w:rPr>
        <w:t>The market prices of securities of companies in the biotechnology and pharmaceutical industry have been extremely volatile and have experienced fluctuations that have often been unrelated or disproportionate to the operating performance of these companies. These fluctuations could adversely affect the market price of our common stock. In the past, securities class action litigation has often been brought against companies following periods of volatility in the market prices of their securities.</w:t>
      </w:r>
    </w:p>
    <w:p>
      <w:pPr>
        <w:spacing w:after="0" w:line="188" w:lineRule="exact"/>
        <w:rPr>
          <w:sz w:val="20"/>
          <w:szCs w:val="20"/>
          <w:color w:val="auto"/>
        </w:rPr>
      </w:pPr>
    </w:p>
    <w:p>
      <w:pPr>
        <w:ind w:left="60" w:right="99" w:firstLine="441"/>
        <w:spacing w:after="0" w:line="270" w:lineRule="auto"/>
        <w:rPr>
          <w:sz w:val="20"/>
          <w:szCs w:val="20"/>
          <w:color w:val="auto"/>
        </w:rPr>
      </w:pPr>
      <w:r>
        <w:rPr>
          <w:rFonts w:ascii="Arial" w:cs="Arial" w:eastAsia="Arial" w:hAnsi="Arial"/>
          <w:sz w:val="17"/>
          <w:szCs w:val="17"/>
          <w:color w:val="auto"/>
        </w:rPr>
        <w:t>In July 2017, we experienced a decline in our stock price following our announcement that we had received notice of the FDA’s determination that it could not approve our NDA for DEXTENZA in its then present form. In 2017 and 2018, class action lawsuits were filed against us and certain of our current and former executive officers and shareholder derivative actions were filed against certain of our current and former executive officers, certain of our current and former board members, and two of our investors and against the company as a nominal defendant. While these legal proceedings were ultimately resolved in our and/or the applicable defendants’ favor, they were distracting and were both time-consuming and costly to defend. Around this time, we also received subpoenas from the Securities and Exchange Commission seeking documents and information concerning DEXTENZA, including related communications with the FDA and investors; in May 2019, the SEC notified us that it had concluded its investigation.</w:t>
      </w:r>
    </w:p>
    <w:p>
      <w:pPr>
        <w:spacing w:after="0" w:line="181" w:lineRule="exact"/>
        <w:rPr>
          <w:sz w:val="20"/>
          <w:szCs w:val="20"/>
          <w:color w:val="auto"/>
        </w:rPr>
      </w:pPr>
    </w:p>
    <w:p>
      <w:pPr>
        <w:ind w:left="60" w:right="139" w:firstLine="441"/>
        <w:spacing w:after="0" w:line="301" w:lineRule="auto"/>
        <w:rPr>
          <w:sz w:val="20"/>
          <w:szCs w:val="20"/>
          <w:color w:val="auto"/>
        </w:rPr>
      </w:pPr>
      <w:r>
        <w:rPr>
          <w:rFonts w:ascii="Arial" w:cs="Arial" w:eastAsia="Arial" w:hAnsi="Arial"/>
          <w:sz w:val="16"/>
          <w:szCs w:val="16"/>
          <w:color w:val="auto"/>
        </w:rPr>
        <w:t>Due to the volatility in our stock price, we may be the target of similar proceedings in the future. In connection with such legal proceedings, we could incur substantial costs and such costs and any related settlements or judgments may not be covered by insurance. We could also suffer an adverse impact on our reputation and a diversion of management’s attention and resources, which could cause serious harm to our business, operating results and financial condition.</w:t>
      </w:r>
    </w:p>
    <w:p>
      <w:pPr>
        <w:spacing w:after="0" w:line="15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holders of our common stock.</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Our stock price may be volatile. The stock market in general and the market for smaller biopharmaceutical</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companies in particular have experienced extreme volatility that has often been unrelated to the operating performance.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color w:val="auto"/>
        </w:rPr>
        <w:t>As a result of this volatility, our stockholders may not be able to sell their common stock at or above the price at which they purchased it. The market price for our common stock may be influenced by many factors, including:</w:t>
      </w:r>
    </w:p>
    <w:p>
      <w:pPr>
        <w:spacing w:after="0" w:line="146" w:lineRule="exact"/>
        <w:rPr>
          <w:sz w:val="20"/>
          <w:szCs w:val="20"/>
          <w:color w:val="auto"/>
        </w:rPr>
      </w:pPr>
    </w:p>
    <w:p>
      <w:pPr>
        <w:ind w:left="840" w:right="219" w:hanging="331"/>
        <w:spacing w:after="0" w:line="277" w:lineRule="auto"/>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success in commercializing DEXTENZA, ReSure Sealant and any product candidates for which we obtain marketing approval;</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840" w:right="279" w:hanging="331"/>
        <w:spacing w:after="0" w:line="259" w:lineRule="auto"/>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results of our efforts and the efforts of our current and future collaborators to discover, develop, acquire or in-license additional products, product candidates or technologies for the treatment of ophthalmic diseases or conditions, the costs of commercializing any such products and the costs of development of any such product candidates or technologies;</w:t>
      </w:r>
    </w:p>
    <w:p>
      <w:pPr>
        <w:spacing w:after="0" w:line="186" w:lineRule="exact"/>
        <w:rPr>
          <w:rFonts w:ascii="Arial" w:cs="Arial" w:eastAsia="Arial" w:hAnsi="Arial"/>
          <w:sz w:val="18"/>
          <w:szCs w:val="18"/>
          <w:color w:val="auto"/>
        </w:rPr>
      </w:pPr>
    </w:p>
    <w:p>
      <w:pPr>
        <w:ind w:left="840" w:right="159" w:hanging="331"/>
        <w:spacing w:after="0" w:line="277" w:lineRule="auto"/>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ability to secure third-party reimbursement for our products or product candidates;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general economic, political and social, industry and market conditions; and</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60" w:right="299" w:firstLine="441"/>
        <w:spacing w:after="0" w:line="257"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class-action litigation has often been instituted against that company. We also may face securities class-action litigation if we cannot obtain regulatory approvals for or if we otherwise fail to commercialize DEXTENZA or our other product candidates. These proceedings and other similar litigation, if instituted against us, could cause us to incur substantial costs to defend such claims and divert management’s attention and resources.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Sales of a substantial number of shares of our common stock in the public market could cause our stock price to fall.</w:t>
      </w:r>
    </w:p>
    <w:p>
      <w:pPr>
        <w:spacing w:after="0" w:line="260" w:lineRule="exact"/>
        <w:rPr>
          <w:sz w:val="20"/>
          <w:szCs w:val="20"/>
          <w:color w:val="auto"/>
        </w:rPr>
      </w:pPr>
    </w:p>
    <w:p>
      <w:pPr>
        <w:jc w:val="both"/>
        <w:ind w:left="60" w:right="99" w:firstLine="441"/>
        <w:spacing w:after="0" w:line="263" w:lineRule="auto"/>
        <w:rPr>
          <w:sz w:val="20"/>
          <w:szCs w:val="20"/>
          <w:color w:val="auto"/>
        </w:rPr>
      </w:pPr>
      <w:r>
        <w:rPr>
          <w:rFonts w:ascii="Arial" w:cs="Arial" w:eastAsia="Arial" w:hAnsi="Arial"/>
          <w:sz w:val="18"/>
          <w:szCs w:val="18"/>
          <w:color w:val="auto"/>
        </w:rPr>
        <w:t>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84" w:lineRule="exact"/>
        <w:rPr>
          <w:sz w:val="20"/>
          <w:szCs w:val="20"/>
          <w:color w:val="auto"/>
        </w:rPr>
      </w:pPr>
    </w:p>
    <w:p>
      <w:pPr>
        <w:ind w:left="60" w:right="179" w:firstLine="441"/>
        <w:spacing w:after="0" w:line="311" w:lineRule="auto"/>
        <w:rPr>
          <w:sz w:val="20"/>
          <w:szCs w:val="20"/>
          <w:color w:val="auto"/>
        </w:rPr>
      </w:pPr>
      <w:r>
        <w:rPr>
          <w:rFonts w:ascii="Arial" w:cs="Arial" w:eastAsia="Arial" w:hAnsi="Arial"/>
          <w:sz w:val="16"/>
          <w:szCs w:val="16"/>
          <w:color w:val="auto"/>
        </w:rPr>
        <w:t>In addition, shares of common stock that are either subject to outstanding options or reserved for future issuance under our stock incentive plans will become eligible for sale in the public market to the extent permitted by the provisions of various vesting schedules and Rule 144 and Rule 701 under the Securities Act of 1933, as amended, and, 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any event, we have filed a registration statement permitting shares of common stock issued on exercise of options to be freely sold in the public market. If these additional shares of common stock are sold, or if it is perceived that they will be sold, in the public market, the trading price of our common stock could decline.</w:t>
      </w:r>
    </w:p>
    <w:p>
      <w:pPr>
        <w:spacing w:after="0" w:line="184" w:lineRule="exact"/>
        <w:rPr>
          <w:sz w:val="20"/>
          <w:szCs w:val="20"/>
          <w:color w:val="auto"/>
        </w:rPr>
      </w:pPr>
    </w:p>
    <w:p>
      <w:pPr>
        <w:ind w:left="60" w:right="139" w:firstLine="441"/>
        <w:spacing w:after="0" w:line="257" w:lineRule="auto"/>
        <w:rPr>
          <w:sz w:val="20"/>
          <w:szCs w:val="20"/>
          <w:color w:val="auto"/>
        </w:rPr>
      </w:pPr>
      <w:r>
        <w:rPr>
          <w:rFonts w:ascii="Arial" w:cs="Arial" w:eastAsia="Arial" w:hAnsi="Arial"/>
          <w:sz w:val="18"/>
          <w:szCs w:val="18"/>
          <w:color w:val="auto"/>
        </w:rPr>
        <w:t>Certain holders of our common stock have rights, subject to specified conditions, to require us to file registration statements covering their shares or, along with certain holders of shares of our common stock issuable upon exercise of warrants issued to lenders, to include their shares in registration statements that we may file for ourselves or other stockholders. Any sales of securities by these stockholders could have a material adverse effect on the trading price of our common stock.</w:t>
      </w:r>
    </w:p>
    <w:p>
      <w:pPr>
        <w:spacing w:after="0" w:line="188"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such companies may make our common stock less attractive to investors.</w:t>
      </w:r>
    </w:p>
    <w:p>
      <w:pPr>
        <w:spacing w:after="0" w:line="170" w:lineRule="exact"/>
        <w:rPr>
          <w:sz w:val="20"/>
          <w:szCs w:val="20"/>
          <w:color w:val="auto"/>
        </w:rPr>
      </w:pPr>
    </w:p>
    <w:p>
      <w:pPr>
        <w:ind w:left="60" w:right="139" w:firstLine="441"/>
        <w:spacing w:after="0" w:line="255" w:lineRule="auto"/>
        <w:rPr>
          <w:sz w:val="20"/>
          <w:szCs w:val="20"/>
          <w:color w:val="auto"/>
        </w:rPr>
      </w:pPr>
      <w:r>
        <w:rPr>
          <w:rFonts w:ascii="Arial" w:cs="Arial" w:eastAsia="Arial" w:hAnsi="Arial"/>
          <w:sz w:val="18"/>
          <w:szCs w:val="18"/>
          <w:color w:val="auto"/>
        </w:rPr>
        <w:t>We are a “smaller reporting company,” as defined in Rule 12b-2 under the Securities Exchange Act of 1934, as amended. We would cease to be a smaller reporting company if we have a non-affiliate public float in excess of $250 million and annual revenues in excess of $100 million, or a non-affiliate public float in excess of $700 million, determined on an annual basis. As a smaller reporting company, we are permitted and intend to rely on exemptions from certain disclosure requirements that are applicable to other public companies that are not smaller reporting companies. These exemptions include:</w:t>
      </w:r>
    </w:p>
    <w:p>
      <w:pPr>
        <w:spacing w:after="0" w:line="192" w:lineRule="exact"/>
        <w:rPr>
          <w:sz w:val="20"/>
          <w:szCs w:val="20"/>
          <w:color w:val="auto"/>
        </w:rPr>
      </w:pPr>
    </w:p>
    <w:p>
      <w:pPr>
        <w:jc w:val="both"/>
        <w:ind w:left="840" w:right="139" w:hanging="331"/>
        <w:spacing w:after="0" w:line="263" w:lineRule="auto"/>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consolidated financial statements in this Annual Report on Form 10-K, with correspondingly reduced “Management’s Discussion and Analysis of Financial Condition and Results of Operations” disclosure;</w:t>
      </w:r>
    </w:p>
    <w:p>
      <w:pPr>
        <w:spacing w:after="0" w:line="183" w:lineRule="exact"/>
        <w:rPr>
          <w:rFonts w:ascii="Arial" w:cs="Arial" w:eastAsia="Arial" w:hAnsi="Arial"/>
          <w:sz w:val="18"/>
          <w:szCs w:val="18"/>
          <w:color w:val="auto"/>
        </w:rPr>
      </w:pPr>
    </w:p>
    <w:p>
      <w:pPr>
        <w:ind w:left="840" w:hanging="33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225" w:lineRule="exact"/>
        <w:rPr>
          <w:rFonts w:ascii="Arial" w:cs="Arial" w:eastAsia="Arial" w:hAnsi="Arial"/>
          <w:sz w:val="18"/>
          <w:szCs w:val="18"/>
          <w:color w:val="auto"/>
        </w:rPr>
      </w:pPr>
    </w:p>
    <w:p>
      <w:pPr>
        <w:ind w:left="840" w:right="539" w:hanging="331"/>
        <w:spacing w:after="0" w:line="277" w:lineRule="auto"/>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being required to furnish a contractual obligations table in “Management’s Discussion and Analysis of Financial Condition and Results of Operations”; and</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being required to furnish a stock performance graph in our annual report.</w:t>
      </w:r>
    </w:p>
    <w:p>
      <w:pPr>
        <w:spacing w:after="0" w:line="225" w:lineRule="exact"/>
        <w:rPr>
          <w:sz w:val="20"/>
          <w:szCs w:val="20"/>
          <w:color w:val="auto"/>
        </w:rPr>
      </w:pPr>
    </w:p>
    <w:p>
      <w:pPr>
        <w:ind w:left="60" w:right="399" w:firstLine="441"/>
        <w:spacing w:after="0" w:line="277" w:lineRule="auto"/>
        <w:rPr>
          <w:sz w:val="20"/>
          <w:szCs w:val="20"/>
          <w:color w:val="auto"/>
        </w:rPr>
      </w:pPr>
      <w:r>
        <w:rPr>
          <w:rFonts w:ascii="Arial" w:cs="Arial" w:eastAsia="Arial" w:hAnsi="Arial"/>
          <w:sz w:val="18"/>
          <w:szCs w:val="18"/>
          <w:color w:val="auto"/>
        </w:rPr>
        <w:t>We expect to continue to take advantage of some or all of the available exemptions until we cease to be a smaller reporting company.</w:t>
      </w:r>
    </w:p>
    <w:p>
      <w:pPr>
        <w:spacing w:after="0" w:line="170" w:lineRule="exact"/>
        <w:rPr>
          <w:sz w:val="20"/>
          <w:szCs w:val="20"/>
          <w:color w:val="auto"/>
        </w:rPr>
      </w:pPr>
    </w:p>
    <w:p>
      <w:pPr>
        <w:ind w:left="60" w:right="139" w:firstLine="441"/>
        <w:spacing w:after="0" w:line="263"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incur increased costs as a result of operating as a public company, and our management is now required to devote substantial time to new compliance initiatives and corporate governance practices.</w:t>
      </w:r>
    </w:p>
    <w:p>
      <w:pPr>
        <w:spacing w:after="0" w:line="146" w:lineRule="exact"/>
        <w:rPr>
          <w:sz w:val="20"/>
          <w:szCs w:val="20"/>
          <w:color w:val="auto"/>
        </w:rPr>
      </w:pPr>
    </w:p>
    <w:p>
      <w:pPr>
        <w:ind w:left="60" w:right="79" w:firstLine="441"/>
        <w:spacing w:after="0" w:line="272" w:lineRule="auto"/>
        <w:rPr>
          <w:sz w:val="20"/>
          <w:szCs w:val="20"/>
          <w:color w:val="auto"/>
        </w:rPr>
      </w:pPr>
      <w:r>
        <w:rPr>
          <w:rFonts w:ascii="Arial" w:cs="Arial" w:eastAsia="Arial" w:hAnsi="Arial"/>
          <w:sz w:val="17"/>
          <w:szCs w:val="17"/>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will make some activities more time-consuming and costly.</w:t>
      </w:r>
    </w:p>
    <w:p>
      <w:pPr>
        <w:spacing w:after="0" w:line="177" w:lineRule="exact"/>
        <w:rPr>
          <w:sz w:val="20"/>
          <w:szCs w:val="20"/>
          <w:color w:val="auto"/>
        </w:rPr>
      </w:pPr>
    </w:p>
    <w:p>
      <w:pPr>
        <w:ind w:left="60" w:right="59" w:firstLine="441"/>
        <w:spacing w:after="0" w:line="271"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 report by our management on our internal control over financial reporting. On January 1, 2020, we became subject to the requirement to include an attestation report on internal control over financial reporting issued by our independent registered public accounting firm because we were no longer an emerging growth company. Although the SEC has provided smaller reporting companies relief from this requirement to include an attestation report in March 2020, to maintain compliance with other provisions of Section 404, we will continue to document and evaluate our internal control over financial reporting, which is both costly and challenging. In this regard, we will continue to dedicate internal resources, potentially engage outside consultants and adopt a detailed work plan to assess and document the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if required, our independent registered public accounting firm will be able to conclude, within the prescribed timeframe or at all, that our internal control over financial reporting is effective as required by Section 404. If we or our independent registered public accounting firm identify one or more material weaknesses in our internal control over financial reporting, it could result in an adverse reaction in the financial markets due to a loss of confidence in the reliability of our consolidated financial statements.</w:t>
      </w:r>
    </w:p>
    <w:p>
      <w:pPr>
        <w:spacing w:after="0" w:line="192" w:lineRule="exact"/>
        <w:rPr>
          <w:sz w:val="20"/>
          <w:szCs w:val="20"/>
          <w:color w:val="auto"/>
        </w:rPr>
      </w:pPr>
    </w:p>
    <w:p>
      <w:pPr>
        <w:ind w:left="60" w:right="87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170" w:lineRule="exact"/>
        <w:rPr>
          <w:sz w:val="20"/>
          <w:szCs w:val="20"/>
          <w:color w:val="auto"/>
        </w:rPr>
      </w:pPr>
    </w:p>
    <w:p>
      <w:pPr>
        <w:ind w:left="60" w:right="59" w:firstLine="441"/>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our Credit Agreement and any future debt agreements that we may enter into, may preclude us from paying dividends without the lenders’ consent or at all. As a result, capital appreciation, if any, of our common stock will be our stockholders’ sole source of gain for the foreseeable future.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General Risk Factors</w:t>
      </w:r>
    </w:p>
    <w:p>
      <w:pPr>
        <w:spacing w:after="0" w:line="229" w:lineRule="exact"/>
        <w:rPr>
          <w:sz w:val="20"/>
          <w:szCs w:val="20"/>
          <w:color w:val="auto"/>
        </w:rPr>
      </w:pPr>
    </w:p>
    <w:p>
      <w:pPr>
        <w:ind w:left="60" w:right="479"/>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24"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color w:val="auto"/>
        </w:rPr>
        <w:t>Our internal computer systems and those of our current and any future collaborators,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products and product candidates could be delayed.</w:t>
      </w:r>
    </w:p>
    <w:p>
      <w:pPr>
        <w:spacing w:after="0" w:line="182"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70" w:lineRule="exact"/>
        <w:rPr>
          <w:sz w:val="20"/>
          <w:szCs w:val="20"/>
          <w:color w:val="auto"/>
        </w:rPr>
      </w:pPr>
    </w:p>
    <w:p>
      <w:pPr>
        <w:ind w:left="60" w:right="159" w:firstLine="441"/>
        <w:spacing w:after="0" w:line="269" w:lineRule="auto"/>
        <w:rPr>
          <w:sz w:val="20"/>
          <w:szCs w:val="20"/>
          <w:color w:val="auto"/>
        </w:rPr>
      </w:pPr>
      <w:r>
        <w:rPr>
          <w:rFonts w:ascii="Arial" w:cs="Arial" w:eastAsia="Arial" w:hAnsi="Arial"/>
          <w:sz w:val="17"/>
          <w:szCs w:val="17"/>
          <w:color w:val="auto"/>
        </w:rPr>
        <w:t>Changes in tax law may adversely affect our business or financial condition. On December 22, 2017, President Trump signed the 2017 Tax Act into law, which significantly revised the Internal Revenue Code of 1986, as amended. The 2017 Tax Act, among other things, contained significant changes to corporate federal income taxation, including the reduction of the corporate tax rate from a top marginal rate of 35% to a flat rate of 21%, the limitation of the tax deduction for net interest expense to 30% of adjusted earnings (except for certain small businesses), the limitation of the deduction for NOLs to 80% of current year taxable income and elimination of NOL carrybacks, in each case, for losses arising in taxable years beginning after December 31, 2017 (though any such NOLs may be carried forward indefinitely), the imposition of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many business deductions and credits.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441"/>
        <w:spacing w:after="0" w:line="290" w:lineRule="auto"/>
        <w:rPr>
          <w:sz w:val="20"/>
          <w:szCs w:val="20"/>
          <w:color w:val="auto"/>
        </w:rPr>
      </w:pPr>
      <w:r>
        <w:rPr>
          <w:rFonts w:ascii="Arial" w:cs="Arial" w:eastAsia="Arial" w:hAnsi="Arial"/>
          <w:sz w:val="16"/>
          <w:szCs w:val="16"/>
          <w:color w:val="auto"/>
        </w:rPr>
        <w:t>As part of Congress’ response to the COVID-19 pandemic, the Families First Coronavirus Response Act, or FFCR Act, was enacted on March 18, 2020, and the Coronavirus Aid, Relief, and Economic Security Act, or CARES Act, was enacted on March 27, 2020. Both contain numerous tax provisions. In particular, the CARES Act retroactively and temporarily (for taxable years beginning before January 1, 2021) suspends application of the 80%-of-income limitation on the use of NOLs, which was enacted as part of the 2017 Tax Act.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65" w:lineRule="exact"/>
        <w:rPr>
          <w:sz w:val="20"/>
          <w:szCs w:val="20"/>
          <w:color w:val="auto"/>
        </w:rPr>
      </w:pPr>
    </w:p>
    <w:p>
      <w:pPr>
        <w:ind w:left="60" w:right="119" w:firstLine="441"/>
        <w:spacing w:after="0" w:line="257" w:lineRule="auto"/>
        <w:rPr>
          <w:sz w:val="20"/>
          <w:szCs w:val="20"/>
          <w:color w:val="auto"/>
        </w:rPr>
      </w:pPr>
      <w:r>
        <w:rPr>
          <w:rFonts w:ascii="Arial" w:cs="Arial" w:eastAsia="Arial" w:hAnsi="Arial"/>
          <w:sz w:val="18"/>
          <w:szCs w:val="18"/>
          <w:color w:val="auto"/>
        </w:rPr>
        <w:t>Regulatory guidance under the 2017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our company. In addition, it is uncertain if and to what extent various states will conform to the 2017 Tax Act, the FFCR Act or the CARES Act.</w:t>
      </w:r>
    </w:p>
    <w:p>
      <w:pPr>
        <w:spacing w:after="0" w:line="184"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left="60" w:right="119" w:firstLine="441"/>
        <w:spacing w:after="0" w:line="257" w:lineRule="auto"/>
        <w:rPr>
          <w:sz w:val="20"/>
          <w:szCs w:val="20"/>
          <w:color w:val="auto"/>
        </w:rPr>
      </w:pPr>
      <w:r>
        <w:rPr>
          <w:rFonts w:ascii="Arial" w:cs="Arial" w:eastAsia="Arial" w:hAnsi="Arial"/>
          <w:sz w:val="18"/>
          <w:szCs w:val="18"/>
          <w:color w:val="auto"/>
        </w:rPr>
        <w:t>Our facilities consist of leased office space, laboratory space and manufacturing facilities in Bedford, Massachusetts. We occupy approximately 121,000 square feet of space. The lease for approximately 71,000 square feet of space expires in July 2027, the lease for approximately 30,000 square feet of space expires in 2024, and the lease for approximately 20,000 square feet of space expires in 2023. We believe that our current facilities are suitable and adequate to meet our current needs.</w:t>
      </w:r>
    </w:p>
    <w:p>
      <w:pPr>
        <w:spacing w:after="0" w:line="184"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0" w:right="79" w:firstLine="441"/>
        <w:spacing w:after="0" w:line="279"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not presently a party to any material legal proceedings, nor to the knowledge of management are any material legal proceedings threatened against us.</w:t>
      </w:r>
    </w:p>
    <w:p>
      <w:pPr>
        <w:spacing w:after="0" w:line="167"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20" w:right="79" w:hanging="877"/>
        <w:spacing w:after="0" w:line="282" w:lineRule="auto"/>
        <w:tabs>
          <w:tab w:leader="none" w:pos="9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Issuer’s Purchases of Equity Securities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common stock has been publicly traded on the Nasdaq Global Market under the symbol “OCUL” since July 25,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2014.</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0" w:right="379" w:firstLine="441"/>
        <w:spacing w:after="0" w:line="277" w:lineRule="auto"/>
        <w:rPr>
          <w:sz w:val="20"/>
          <w:szCs w:val="20"/>
          <w:color w:val="auto"/>
        </w:rPr>
      </w:pPr>
      <w:r>
        <w:rPr>
          <w:rFonts w:ascii="Arial" w:cs="Arial" w:eastAsia="Arial" w:hAnsi="Arial"/>
          <w:sz w:val="18"/>
          <w:szCs w:val="18"/>
          <w:color w:val="auto"/>
        </w:rPr>
        <w:t>As of March 1, 2021, there were approximately 20 holders of record of our common stock. This number does not include beneficial owners whose shares are held by nominees in street name.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279" w:firstLine="441"/>
        <w:spacing w:after="0" w:line="263" w:lineRule="auto"/>
        <w:rPr>
          <w:sz w:val="20"/>
          <w:szCs w:val="20"/>
          <w:color w:val="auto"/>
        </w:rPr>
      </w:pPr>
      <w:r>
        <w:rPr>
          <w:rFonts w:ascii="Arial" w:cs="Arial" w:eastAsia="Arial" w:hAnsi="Arial"/>
          <w:sz w:val="18"/>
          <w:szCs w:val="18"/>
          <w:color w:val="auto"/>
        </w:rPr>
        <w:t>We have never declared or paid cash dividends on our common stock, and we do not expect to pay any cash dividends on our common stock in the foreseeable future. In addition, the terms of our existing credit facility preclude us from paying cash dividends without the consent of our lenders.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0" w:right="199" w:firstLine="441"/>
        <w:spacing w:after="0" w:line="279" w:lineRule="auto"/>
        <w:rPr>
          <w:sz w:val="20"/>
          <w:szCs w:val="20"/>
          <w:color w:val="auto"/>
        </w:rPr>
      </w:pPr>
      <w:r>
        <w:rPr>
          <w:rFonts w:ascii="Arial" w:cs="Arial" w:eastAsia="Arial" w:hAnsi="Arial"/>
          <w:sz w:val="17"/>
          <w:szCs w:val="17"/>
          <w:color w:val="auto"/>
        </w:rPr>
        <w:t>We did not sell any shares of our common stock, shares of our preferred stock or warrants to purchase shares of our stock, or grant any stock options or restricted stock awards, during the year ended December 31, 2020 that were not registered under the Securities Act of 1933, as amended, or the Securities Act, and that have not otherwise been described in an Annual Report on Form 10-K or a Quarterly Report on Form 10-Q.</w:t>
      </w:r>
    </w:p>
    <w:p>
      <w:pPr>
        <w:spacing w:after="0" w:line="212" w:lineRule="exact"/>
        <w:rPr>
          <w:sz w:val="20"/>
          <w:szCs w:val="20"/>
          <w:color w:val="auto"/>
        </w:rPr>
      </w:pPr>
    </w:p>
    <w:p>
      <w:pPr>
        <w:ind w:left="60" w:right="259" w:firstLine="441"/>
        <w:spacing w:after="0" w:line="275" w:lineRule="auto"/>
        <w:rPr>
          <w:sz w:val="20"/>
          <w:szCs w:val="20"/>
          <w:color w:val="auto"/>
        </w:rPr>
      </w:pPr>
      <w:r>
        <w:rPr>
          <w:rFonts w:ascii="Arial" w:cs="Arial" w:eastAsia="Arial" w:hAnsi="Arial"/>
          <w:sz w:val="17"/>
          <w:szCs w:val="17"/>
          <w:color w:val="auto"/>
        </w:rPr>
        <w:t>In February 2021, we issued an employee non-statutory stock options to purchase up to 150,000 shares of our common stock outside our 2014 Stock Incentive Plan and under our 2019 Inducement Stock Incentive Plan as an inducement material to the individual’s acceptance of an offer of employment with us in accordance with Nasdaq Listing Rule 5635(c)(4). We intend to file a registration statement on a Form S-8 to register the shares of common stock underlying this inducement award prior to the time at which the award becomes exercisable.</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 of Equity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did not purchase any of our registered equity securities during the period covered by this Annual Report on Form</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10-K.</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16" w:lineRule="exact"/>
        <w:rPr>
          <w:sz w:val="20"/>
          <w:szCs w:val="20"/>
          <w:color w:val="auto"/>
        </w:rPr>
      </w:pPr>
    </w:p>
    <w:p>
      <w:pPr>
        <w:ind w:left="60" w:right="99" w:firstLine="441"/>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and should be read together with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25" w:lineRule="exact"/>
        <w:rPr>
          <w:sz w:val="20"/>
          <w:szCs w:val="20"/>
          <w:color w:val="auto"/>
        </w:rPr>
      </w:pPr>
    </w:p>
    <w:p>
      <w:pPr>
        <w:jc w:val="both"/>
        <w:ind w:left="60" w:right="119" w:firstLine="441"/>
        <w:spacing w:after="0" w:line="311" w:lineRule="auto"/>
        <w:rPr>
          <w:sz w:val="20"/>
          <w:szCs w:val="20"/>
          <w:color w:val="auto"/>
        </w:rPr>
      </w:pPr>
      <w:r>
        <w:rPr>
          <w:rFonts w:ascii="Arial" w:cs="Arial" w:eastAsia="Arial" w:hAnsi="Arial"/>
          <w:sz w:val="16"/>
          <w:szCs w:val="16"/>
          <w:color w:val="auto"/>
        </w:rPr>
        <w:t>We are a biopharmaceutical company focused on the formulation, development and commercialization of innovative therapies for diseases and conditions of the eye using our proprietary, bioresorbable hydrogel platform technology. We use this technology to tailor duration and amount of delivery of a range of therapeutic agents in our product candidates.</w:t>
      </w:r>
    </w:p>
    <w:p>
      <w:pPr>
        <w:spacing w:after="0" w:line="122" w:lineRule="exact"/>
        <w:rPr>
          <w:sz w:val="20"/>
          <w:szCs w:val="20"/>
          <w:color w:val="auto"/>
        </w:rPr>
      </w:pPr>
    </w:p>
    <w:p>
      <w:pPr>
        <w:ind w:left="60" w:right="99" w:firstLine="441"/>
        <w:spacing w:after="0" w:line="253" w:lineRule="auto"/>
        <w:rPr>
          <w:sz w:val="20"/>
          <w:szCs w:val="20"/>
          <w:color w:val="auto"/>
        </w:rPr>
      </w:pPr>
      <w:r>
        <w:rPr>
          <w:rFonts w:ascii="Arial" w:cs="Arial" w:eastAsia="Arial" w:hAnsi="Arial"/>
          <w:sz w:val="17"/>
          <w:szCs w:val="17"/>
          <w:color w:val="auto"/>
        </w:rPr>
        <w:t>We currently incorporate therapeutic agents that have previously received regulatory approval from the U.S. Food and Drug Administration, or FDA, including small molecules and proteins, into our hydrogel technology with the goal of providing local programmed-release of drug to the eye. We believe that our local programmed-release drug delivery technology has the potential to treat conditions and diseases of both the front and the back of the eye and can be administered through a range of different modalities including intravitreal implants, suprachoroidal implants, intracameral implants and intracanalicular inserts. We have product candidates in preclinical and clinical development designed to utilize this technology to treat retinal diseases including wet age-related macular degeneration, or wet AMD; glaucoma and ocular hypertension; and ocular surface diseases and conditions including chronic and acute dry eye disease and ocular itching associated with allergic conjunctivitis. We also have two FDA-approved products in commercialization in the United States: DEXTENZA</w:t>
      </w:r>
      <w:r>
        <w:rPr>
          <w:rFonts w:ascii="Arial" w:cs="Arial" w:eastAsia="Arial" w:hAnsi="Arial"/>
          <w:sz w:val="25"/>
          <w:szCs w:val="25"/>
          <w:color w:val="auto"/>
          <w:vertAlign w:val="superscript"/>
        </w:rPr>
        <w:t>®</w:t>
      </w:r>
      <w:r>
        <w:rPr>
          <w:rFonts w:ascii="Arial" w:cs="Arial" w:eastAsia="Arial" w:hAnsi="Arial"/>
          <w:sz w:val="17"/>
          <w:szCs w:val="17"/>
          <w:color w:val="auto"/>
        </w:rPr>
        <w:t>, an intracanalicular insert for the treatment of post-surgical ocular inflammation and pain, and ReSure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Sealant, an ophthalmic device designed to prevent wound leaks in corneal incisions following cataract surgery. Our core pipeline assets include four development programs. We are currently evaluating two of these programs in Phase 1 clinical trials: OTX-TKI, an intravitreal implant injected by fine-gauge needle of a hydrogel, anti-angiogenic formulation of axitinib, a tyrosine kinase inhibitor, or TKI, for the treatment of wet AMD, and OTX-TIC, a travoprost intracameral implant for the reduction of intraocular pressure, or IOP, in patients with primary open-angle glaucoma or ocular hypertension. We have commenced Phase 2 clinical trials of OTX-CSI, a cyclosporine intracanalicular insert for the chronic treatment of dry eye disease, and OTX-DED, a dexamethasone intracanalicular insert for the short-term treatment of the signs and symptoms of dry eye disease.</w:t>
      </w:r>
    </w:p>
    <w:p>
      <w:pPr>
        <w:spacing w:after="0" w:line="201" w:lineRule="exact"/>
        <w:rPr>
          <w:sz w:val="20"/>
          <w:szCs w:val="20"/>
          <w:color w:val="auto"/>
        </w:rPr>
      </w:pPr>
    </w:p>
    <w:p>
      <w:pPr>
        <w:ind w:left="60" w:right="99" w:firstLine="441"/>
        <w:spacing w:after="0" w:line="290" w:lineRule="auto"/>
        <w:rPr>
          <w:sz w:val="20"/>
          <w:szCs w:val="20"/>
          <w:color w:val="auto"/>
        </w:rPr>
      </w:pPr>
      <w:r>
        <w:rPr>
          <w:rFonts w:ascii="Arial" w:cs="Arial" w:eastAsia="Arial" w:hAnsi="Arial"/>
          <w:sz w:val="16"/>
          <w:szCs w:val="16"/>
          <w:color w:val="auto"/>
        </w:rPr>
        <w:t>We also have a collaboration with Regeneron Pharmaceuticals, Inc., or Regeneron, for the development and potential commercialization of products containing our extended-delivery hydrogel in combination with Regeneron’s large molecule vascular endothelial growth factor, or VEGF, inhibitor, aflibercept, currently marketed under the brand name Eylea. On May 8, 2020, we entered into an amendment to our existing collaboration agreement with Regeneron. Pursuant to this amendment, we and Regeneron have adopted a new workplan to transition joint efforts under the existing collaboration agreement to the research and development of an extended-delivery formulation of aflibercept to be delivered to the suprachoroidal space. Regeneron has agreed to pay for our personnel and material costs for specified preclinical development activities in connection with the revised workplan, as well as costs of certain specialty equipment.</w:t>
      </w:r>
    </w:p>
    <w:p>
      <w:pPr>
        <w:spacing w:after="0" w:line="165" w:lineRule="exact"/>
        <w:rPr>
          <w:sz w:val="20"/>
          <w:szCs w:val="20"/>
          <w:color w:val="auto"/>
        </w:rPr>
      </w:pPr>
    </w:p>
    <w:p>
      <w:pPr>
        <w:ind w:left="60" w:right="119" w:firstLine="441"/>
        <w:spacing w:after="0" w:line="275" w:lineRule="auto"/>
        <w:rPr>
          <w:sz w:val="20"/>
          <w:szCs w:val="20"/>
          <w:color w:val="auto"/>
        </w:rPr>
      </w:pPr>
      <w:r>
        <w:rPr>
          <w:rFonts w:ascii="Arial" w:cs="Arial" w:eastAsia="Arial" w:hAnsi="Arial"/>
          <w:sz w:val="17"/>
          <w:szCs w:val="17"/>
          <w:color w:val="auto"/>
        </w:rPr>
        <w:t>DEXTENZA is the first FDA-approved intracanalicular insert delivering dexamethasone to treat post-surgical ocular inflammation and pain for up to 30 days with a single administration. We filed a supplemental New Drug Application, or sNDA, in the fourth quarter of 2020 for an additional indication of DEXTENZA for the treatment of ocular itching associated with allergic conjunctivitis. The FDA has accepted our sNDA for filing and has established a target action date under the Prescription Drug User Fee Act, commonly known as PDUFA, of October 18, 2021.</w:t>
      </w:r>
    </w:p>
    <w:p>
      <w:pPr>
        <w:spacing w:after="0" w:line="176" w:lineRule="exact"/>
        <w:rPr>
          <w:sz w:val="20"/>
          <w:szCs w:val="20"/>
          <w:color w:val="auto"/>
        </w:rPr>
      </w:pPr>
    </w:p>
    <w:p>
      <w:pPr>
        <w:ind w:left="60" w:right="499" w:firstLine="441"/>
        <w:spacing w:after="0" w:line="259" w:lineRule="auto"/>
        <w:rPr>
          <w:sz w:val="20"/>
          <w:szCs w:val="20"/>
          <w:color w:val="auto"/>
        </w:rPr>
      </w:pPr>
      <w:r>
        <w:rPr>
          <w:rFonts w:ascii="Arial" w:cs="Arial" w:eastAsia="Arial" w:hAnsi="Arial"/>
          <w:sz w:val="18"/>
          <w:szCs w:val="18"/>
          <w:color w:val="auto"/>
        </w:rPr>
        <w:t xml:space="preserve">In October 2020, we entered into a license agreement and collaboration with AffaMed Therapeutics Limited, or AffaMed, </w:t>
      </w:r>
      <w:r>
        <w:rPr>
          <w:rFonts w:ascii="Arial" w:cs="Arial" w:eastAsia="Arial" w:hAnsi="Arial"/>
          <w:sz w:val="18"/>
          <w:szCs w:val="18"/>
          <w:color w:val="333333"/>
        </w:rPr>
        <w:t>for the development and commercialization of DEXTENZA and OTX-TIC in mainland</w:t>
      </w:r>
      <w:r>
        <w:rPr>
          <w:rFonts w:ascii="Arial" w:cs="Arial" w:eastAsia="Arial" w:hAnsi="Arial"/>
          <w:sz w:val="18"/>
          <w:szCs w:val="18"/>
          <w:color w:val="auto"/>
        </w:rPr>
        <w:t xml:space="preserve"> China</w:t>
      </w:r>
      <w:r>
        <w:rPr>
          <w:rFonts w:ascii="Arial" w:cs="Arial" w:eastAsia="Arial" w:hAnsi="Arial"/>
          <w:sz w:val="18"/>
          <w:szCs w:val="18"/>
          <w:color w:val="333333"/>
        </w:rPr>
        <w:t>,</w:t>
      </w:r>
      <w:r>
        <w:rPr>
          <w:rFonts w:ascii="Arial" w:cs="Arial" w:eastAsia="Arial" w:hAnsi="Arial"/>
          <w:sz w:val="18"/>
          <w:szCs w:val="18"/>
          <w:color w:val="auto"/>
        </w:rPr>
        <w:t xml:space="preserve"> Hong Kong</w:t>
      </w:r>
      <w:r>
        <w:rPr>
          <w:rFonts w:ascii="Arial" w:cs="Arial" w:eastAsia="Arial" w:hAnsi="Arial"/>
          <w:sz w:val="18"/>
          <w:szCs w:val="18"/>
          <w:color w:val="333333"/>
        </w:rPr>
        <w:t>,</w:t>
      </w:r>
      <w:r>
        <w:rPr>
          <w:rFonts w:ascii="Arial" w:cs="Arial" w:eastAsia="Arial" w:hAnsi="Arial"/>
          <w:sz w:val="18"/>
          <w:szCs w:val="18"/>
          <w:color w:val="auto"/>
        </w:rPr>
        <w:t xml:space="preserve"> Macau</w:t>
      </w:r>
      <w:r>
        <w:rPr>
          <w:rFonts w:ascii="Arial" w:cs="Arial" w:eastAsia="Arial" w:hAnsi="Arial"/>
          <w:sz w:val="18"/>
          <w:szCs w:val="18"/>
          <w:color w:val="333333"/>
        </w:rPr>
        <w:t>, and</w:t>
      </w:r>
      <w:r>
        <w:rPr>
          <w:rFonts w:ascii="Arial" w:cs="Arial" w:eastAsia="Arial" w:hAnsi="Arial"/>
          <w:sz w:val="18"/>
          <w:szCs w:val="18"/>
          <w:color w:val="auto"/>
        </w:rPr>
        <w:t xml:space="preserve"> Taiwan</w:t>
      </w:r>
      <w:r>
        <w:rPr>
          <w:rFonts w:ascii="Arial" w:cs="Arial" w:eastAsia="Arial" w:hAnsi="Arial"/>
          <w:sz w:val="18"/>
          <w:szCs w:val="18"/>
          <w:color w:val="333333"/>
        </w:rPr>
        <w:t>;</w:t>
      </w:r>
      <w:r>
        <w:rPr>
          <w:rFonts w:ascii="Arial" w:cs="Arial" w:eastAsia="Arial" w:hAnsi="Arial"/>
          <w:sz w:val="18"/>
          <w:szCs w:val="18"/>
          <w:color w:val="auto"/>
        </w:rPr>
        <w:t xml:space="preserve"> South Korea</w:t>
      </w:r>
      <w:r>
        <w:rPr>
          <w:rFonts w:ascii="Arial" w:cs="Arial" w:eastAsia="Arial" w:hAnsi="Arial"/>
          <w:sz w:val="18"/>
          <w:szCs w:val="18"/>
          <w:color w:val="333333"/>
        </w:rPr>
        <w:t>, and the</w:t>
      </w:r>
      <w:r>
        <w:rPr>
          <w:rFonts w:ascii="Arial" w:cs="Arial" w:eastAsia="Arial" w:hAnsi="Arial"/>
          <w:sz w:val="18"/>
          <w:szCs w:val="18"/>
          <w:color w:val="auto"/>
        </w:rPr>
        <w:t xml:space="preserve"> ASEAN </w:t>
      </w:r>
      <w:r>
        <w:rPr>
          <w:rFonts w:ascii="Arial" w:cs="Arial" w:eastAsia="Arial" w:hAnsi="Arial"/>
          <w:sz w:val="18"/>
          <w:szCs w:val="18"/>
          <w:color w:val="333333"/>
        </w:rPr>
        <w:t>markets</w:t>
      </w:r>
      <w:r>
        <w:rPr>
          <w:rFonts w:ascii="Arial" w:cs="Arial" w:eastAsia="Arial" w:hAnsi="Arial"/>
          <w:sz w:val="18"/>
          <w:szCs w:val="18"/>
          <w:color w:val="auto"/>
        </w:rPr>
        <w:t xml:space="preserve"> (Brunei, Cambodia, Indonesia, Laos, Malaysia, Myanmar, the Philippines, Singapore, Thailand and Vietnam)</w:t>
      </w:r>
      <w:r>
        <w:rPr>
          <w:rFonts w:ascii="Arial" w:cs="Arial" w:eastAsia="Arial" w:hAnsi="Arial"/>
          <w:sz w:val="18"/>
          <w:szCs w:val="18"/>
          <w:color w:val="333333"/>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continue to assess the potential use of our hydrogel platform technology in other areas of the body.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Update Regarding COVID-19</w:t>
      </w:r>
    </w:p>
    <w:p>
      <w:pPr>
        <w:spacing w:after="0" w:line="225" w:lineRule="exact"/>
        <w:rPr>
          <w:sz w:val="20"/>
          <w:szCs w:val="20"/>
          <w:color w:val="auto"/>
        </w:rPr>
      </w:pPr>
    </w:p>
    <w:p>
      <w:pPr>
        <w:ind w:left="60" w:right="79" w:firstLine="441"/>
        <w:spacing w:after="0" w:line="286" w:lineRule="auto"/>
        <w:rPr>
          <w:sz w:val="20"/>
          <w:szCs w:val="20"/>
          <w:color w:val="auto"/>
        </w:rPr>
      </w:pPr>
      <w:r>
        <w:rPr>
          <w:rFonts w:ascii="Arial" w:cs="Arial" w:eastAsia="Arial" w:hAnsi="Arial"/>
          <w:sz w:val="16"/>
          <w:szCs w:val="16"/>
          <w:color w:val="auto"/>
        </w:rPr>
        <w:t>The pandemic caused by an outbreak of a new strain of coronavirus, or the COVID-19 pandemic, that is affecting the U.S. and global economy and financial markets and the related responses of government, businesses and individuals are also impacting our employees, patients, communities and business operations. The implementation of travel bans and restrictions, quarantines, shelter-in-place/stay-at-home and social distancing orders and shutdowns, for example, affected our business in 2020. The full extent to which the COVID-19 pandemic will continue to directly or indirectly impact our business, results of operations and financial condition and those of our customers, vendors, suppliers, and collaboration partners in 2021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 Management continues to actively monitor this situation and the possible effects on our financial condition, liquidity, operations, suppliers, industry, and workforce. In the paragraphs that follow, we have described impacts of the COVID-19 pandemic on our clinical development programs. For additional information on risks posed by the COVID-19 pandemic, please see “Item 1A — Risk Factors — Risks Related to the Coronavirus Pandemic,” included elsewhere in this Annual Report on Form 10-K.</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We have local programmed-release drug delivery product candidates in preclinical and clinical development, and we have two FDA-approved products—DEXTENZA, an intracanalicular insert for the treatment of post-surgical ocular inflammation and pain, and ReSure Sealant, an ophthalmic device designed to prevent wound leaks in corneal incisions following cataract surgery—in commercialization in the United States. Our ability to generate product revenues sufficient to achieve profitability will depend heavily on our continued commercialization of DEXTENZA for the treatment of ocular inflammation and pain following ophthalmic surgery and our obtaining marketing approval for and commercializing other products with significant market potential, including DEXTENZA for the treatment of ocular itching associated with allergic conjunctivitis, OTX-TKI for the treatment of wet AMD, OTX-TIC for the treatment of glaucoma and ocular hypertension, OTX-CSI for the chronic treatment of dry eye disease, and OTX-DED for the short-term treatment of the signs and symptoms of dry eye disease. Since inception, we have incurred significant operating losses. Our net losses were $155.6 million and $86.4 million for the years ended December 31, 2020 and 2019, respectively. As of December 31, 2020, we had an accumulated deficit of $539.3 million.</w:t>
      </w:r>
    </w:p>
    <w:p>
      <w:pPr>
        <w:spacing w:after="0" w:line="179" w:lineRule="exact"/>
        <w:rPr>
          <w:sz w:val="20"/>
          <w:szCs w:val="20"/>
          <w:color w:val="auto"/>
        </w:rPr>
      </w:pPr>
    </w:p>
    <w:p>
      <w:pPr>
        <w:ind w:left="60" w:right="59" w:firstLine="441"/>
        <w:spacing w:after="0" w:line="269" w:lineRule="auto"/>
        <w:rPr>
          <w:sz w:val="20"/>
          <w:szCs w:val="20"/>
          <w:color w:val="auto"/>
        </w:rPr>
      </w:pPr>
      <w:r>
        <w:rPr>
          <w:rFonts w:ascii="Arial" w:cs="Arial" w:eastAsia="Arial" w:hAnsi="Arial"/>
          <w:sz w:val="17"/>
          <w:szCs w:val="17"/>
          <w:color w:val="auto"/>
        </w:rPr>
        <w:t>Our total cost and operating expenses were $80.3 million and $90.0 million for the years ended December 31, 2020 and 2019, respectively, including $7.5 million and $8.8 million, respectively, in non-cash stock-based compensation expense. Our operating expenses have grown as we continue to support the commercial launch of DEXTENZA following its entry into the market in July 2019; continue to pursue the clinical development of OTX-TKI, OTX-TIC, OTX-CSI, OTX-DED, OTX-AFS and DEXTENZA for the treatment of ocular itching associated with allergic conjunctivitis; continue the research and development of our other product candidates; and seek marketing approval for any such product candidate for which we obtain favorable pivotal clinical trial results. We expect to incur substantial sales and marketing expenses in connection with the ongoing DEXTENZA commercial launch and that of any of our other product candidates. In addition, we will continue to incur additional costs associated with operating as a public company, including legal costs associated with any pending legal proceedings.</w:t>
      </w:r>
    </w:p>
    <w:p>
      <w:pPr>
        <w:spacing w:after="0" w:line="185" w:lineRule="exact"/>
        <w:rPr>
          <w:sz w:val="20"/>
          <w:szCs w:val="20"/>
          <w:color w:val="auto"/>
        </w:rPr>
      </w:pPr>
    </w:p>
    <w:p>
      <w:pPr>
        <w:ind w:left="60" w:right="99" w:firstLine="441"/>
        <w:spacing w:after="0" w:line="273" w:lineRule="auto"/>
        <w:rPr>
          <w:sz w:val="20"/>
          <w:szCs w:val="20"/>
          <w:color w:val="auto"/>
        </w:rPr>
      </w:pPr>
      <w:r>
        <w:rPr>
          <w:rFonts w:ascii="Arial" w:cs="Arial" w:eastAsia="Arial" w:hAnsi="Arial"/>
          <w:sz w:val="17"/>
          <w:szCs w:val="17"/>
          <w:color w:val="auto"/>
        </w:rPr>
        <w:t>Although we expect to generate revenue from sales of DEXTENZA and limited revenue from sales of ReSure Sealant, we will need to obtain substantial additional funding to support our continuing operations and the commercialization of DEXTENZA. If we are unable to raise capital or access our borrowing capacity when needed or on attractive terms, we could be forced to delay, reduce or eliminate our research and development programs or any future commercialization efforts or to relinquish valuable rights to our technologies, future revenue streams, research programs or product candidates or grant licenses on terms that may not be favorable to us.</w:t>
      </w:r>
    </w:p>
    <w:p>
      <w:pPr>
        <w:spacing w:after="0" w:line="178" w:lineRule="exact"/>
        <w:rPr>
          <w:sz w:val="20"/>
          <w:szCs w:val="20"/>
          <w:color w:val="auto"/>
        </w:rPr>
      </w:pPr>
    </w:p>
    <w:p>
      <w:pPr>
        <w:ind w:left="60" w:right="319" w:firstLine="441"/>
        <w:spacing w:after="0" w:line="277" w:lineRule="auto"/>
        <w:rPr>
          <w:sz w:val="20"/>
          <w:szCs w:val="20"/>
          <w:color w:val="auto"/>
        </w:rPr>
      </w:pPr>
      <w:r>
        <w:rPr>
          <w:rFonts w:ascii="Arial" w:cs="Arial" w:eastAsia="Arial" w:hAnsi="Arial"/>
          <w:sz w:val="18"/>
          <w:szCs w:val="18"/>
          <w:color w:val="auto"/>
        </w:rPr>
        <w:t>Through December 31, 2018, we raised $337.7 million through the sale of common stock in various offerings and $25.0 million through a credit facility.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441"/>
        <w:spacing w:after="0" w:line="270" w:lineRule="auto"/>
        <w:rPr>
          <w:sz w:val="20"/>
          <w:szCs w:val="20"/>
          <w:color w:val="auto"/>
        </w:rPr>
      </w:pPr>
      <w:r>
        <w:rPr>
          <w:rFonts w:ascii="Arial" w:cs="Arial" w:eastAsia="Arial" w:hAnsi="Arial"/>
          <w:sz w:val="17"/>
          <w:szCs w:val="17"/>
          <w:color w:val="auto"/>
        </w:rPr>
        <w:t>In November 2016, we entered into a controlled equity offering sales agreement, or the 2016 Sales Agreement, with Cantor Fitzgerald &amp; Co., or Cantor, under which we could offer and sell our common stock having aggregate proceeds of up to $40.0 million from time to time. During 2019, we sold 1,318,481 shares of common stock pursuant to the 2016 Sales Agreement, resulting in net proceeds of approximately $5.0 million after underwriting discounts and commissions and expenses. As of February 25, 2019, we had no amounts remaining available for future sale under the 2016 Sales Agreement. On February 28, 2019, pursuant to the 2016 Sales Agreement, we delivered a termination notice to Cantor, terminating the 2016 Sales Agreement. Through March 31, 2019, we sold an aggregate of 6,330,222 shares of common stock under the 2016 Sales Agreement, resulting in net proceeds of approximately $38.4 million after underwriting discounts and commissions and other offering expenses.</w:t>
      </w:r>
    </w:p>
    <w:p>
      <w:pPr>
        <w:spacing w:after="0" w:line="181" w:lineRule="exact"/>
        <w:rPr>
          <w:sz w:val="20"/>
          <w:szCs w:val="20"/>
          <w:color w:val="auto"/>
        </w:rPr>
      </w:pPr>
    </w:p>
    <w:p>
      <w:pPr>
        <w:ind w:left="60" w:right="79" w:firstLine="441"/>
        <w:spacing w:after="0" w:line="284" w:lineRule="auto"/>
        <w:rPr>
          <w:sz w:val="20"/>
          <w:szCs w:val="20"/>
          <w:color w:val="auto"/>
        </w:rPr>
      </w:pPr>
      <w:r>
        <w:rPr>
          <w:rFonts w:ascii="Arial" w:cs="Arial" w:eastAsia="Arial" w:hAnsi="Arial"/>
          <w:sz w:val="16"/>
          <w:szCs w:val="16"/>
          <w:color w:val="auto"/>
        </w:rPr>
        <w:t>On March 1, 2019, we issued $37.5 million of unsecured senior subordinated convertible notes, or the 2026 Convertible Notes. The 2026 Convertible Notes accrue interest at an annual rate of 6% of their outstanding principal amount, payable at maturity, on March 1, 2026, unless earlier converted, repurchased or redeemed. The holders of the 2026 Convertible Notes may convert all or part of the outstanding principal amount of their 2026 Convertible Notes into shares of our common stock, par value $0.0001 per share, prior to maturity and provided that no conversion results in a holder beneficially owning more than 19.99% of our issued and outstanding common stock. The conversion rate is initially</w:t>
      </w:r>
    </w:p>
    <w:p>
      <w:pPr>
        <w:spacing w:after="0" w:line="4" w:lineRule="exact"/>
        <w:rPr>
          <w:sz w:val="20"/>
          <w:szCs w:val="20"/>
          <w:color w:val="auto"/>
        </w:rPr>
      </w:pPr>
    </w:p>
    <w:p>
      <w:pPr>
        <w:ind w:left="60" w:right="239"/>
        <w:spacing w:after="0" w:line="302" w:lineRule="auto"/>
        <w:rPr>
          <w:sz w:val="20"/>
          <w:szCs w:val="20"/>
          <w:color w:val="auto"/>
        </w:rPr>
      </w:pPr>
      <w:r>
        <w:rPr>
          <w:rFonts w:ascii="Arial" w:cs="Arial" w:eastAsia="Arial" w:hAnsi="Arial"/>
          <w:sz w:val="16"/>
          <w:szCs w:val="16"/>
          <w:color w:val="auto"/>
        </w:rPr>
        <w:t>153.8462 shares of our common stock per $1,000 principal amount of the 2026 Convertible Notes, which is equivalent to an initial conversion price is $6.50 per share. The conversion rate is subject to adjustment in customary circumstances such as stock splits or similar changes to our capitalization, none of which have occurred to date.</w:t>
      </w:r>
    </w:p>
    <w:p>
      <w:pPr>
        <w:spacing w:after="0" w:line="145" w:lineRule="exact"/>
        <w:rPr>
          <w:sz w:val="20"/>
          <w:szCs w:val="20"/>
          <w:color w:val="auto"/>
        </w:rPr>
      </w:pPr>
    </w:p>
    <w:p>
      <w:pPr>
        <w:ind w:left="60" w:right="119" w:firstLine="441"/>
        <w:spacing w:after="0" w:line="256" w:lineRule="auto"/>
        <w:rPr>
          <w:sz w:val="20"/>
          <w:szCs w:val="20"/>
          <w:color w:val="auto"/>
        </w:rPr>
      </w:pPr>
      <w:r>
        <w:rPr>
          <w:rFonts w:ascii="Arial" w:cs="Arial" w:eastAsia="Arial" w:hAnsi="Arial"/>
          <w:sz w:val="17"/>
          <w:szCs w:val="17"/>
          <w:color w:val="auto"/>
        </w:rPr>
        <w:t>On April 5, 2019, we entered into an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or the 2019 Sales Agreement, with Jefferies LLC, or Jefferies, under which we may offer and sell shares of our common stock having an aggregate offering price of up to $50.0 million from time to time through Jefferies, acting as agent. In the twelve months ended December 31, 2019, the Company sold 7,337,459 shares of common stock under the 2019 Sales Agreement, resulting in net proceeds of approximately $32.7 million, respectively, after commissions and expenses. In the twelve months ended December 31, 2020, the Company sold 2,984,381 shares of common stock under the 2019 Sales Agreement, resulting in net proceeds of approximately $14.4 million, respectively, after commissions and expenses. From inception to December 31, 2020, we have sold 10,321,840 shares of common stock under the 2019 Sales Agreement, resulting in net proceeds of approximately $47.0 million after commissions and expenses.</w:t>
      </w:r>
    </w:p>
    <w:p>
      <w:pPr>
        <w:spacing w:after="0" w:line="195" w:lineRule="exact"/>
        <w:rPr>
          <w:sz w:val="20"/>
          <w:szCs w:val="20"/>
          <w:color w:val="auto"/>
        </w:rPr>
      </w:pPr>
    </w:p>
    <w:p>
      <w:pPr>
        <w:ind w:left="60" w:right="179" w:firstLine="441"/>
        <w:spacing w:after="0" w:line="257" w:lineRule="auto"/>
        <w:rPr>
          <w:sz w:val="20"/>
          <w:szCs w:val="20"/>
          <w:color w:val="auto"/>
        </w:rPr>
      </w:pPr>
      <w:r>
        <w:rPr>
          <w:rFonts w:ascii="Arial" w:cs="Arial" w:eastAsia="Arial" w:hAnsi="Arial"/>
          <w:sz w:val="18"/>
          <w:szCs w:val="18"/>
          <w:color w:val="auto"/>
        </w:rPr>
        <w:t>In May 2020, we entered into an underwriting agreement with Jefferies and Piper Sandler &amp; Co., or the Underwriters, pursuant to which we issued and sold an aggregate of 9,409,091 shares of our common stock in an underwritten public offering at a public offering price of $5.50 per share. We refer to this offering as the May 2020 Offering. After deducting underwriting discounts and commissions and offering expenses, we received net proceeds from the May 2020 Offering of approximately $48.3 million.</w:t>
      </w:r>
    </w:p>
    <w:p>
      <w:pPr>
        <w:spacing w:after="0" w:line="188" w:lineRule="exact"/>
        <w:rPr>
          <w:sz w:val="20"/>
          <w:szCs w:val="20"/>
          <w:color w:val="auto"/>
        </w:rPr>
      </w:pPr>
    </w:p>
    <w:p>
      <w:pPr>
        <w:ind w:left="60" w:right="159" w:firstLine="441"/>
        <w:spacing w:after="0" w:line="257" w:lineRule="auto"/>
        <w:rPr>
          <w:sz w:val="20"/>
          <w:szCs w:val="20"/>
          <w:color w:val="auto"/>
        </w:rPr>
      </w:pPr>
      <w:r>
        <w:rPr>
          <w:rFonts w:ascii="Arial" w:cs="Arial" w:eastAsia="Arial" w:hAnsi="Arial"/>
          <w:sz w:val="18"/>
          <w:szCs w:val="18"/>
          <w:color w:val="auto"/>
        </w:rPr>
        <w:t>In October 2020, we entered into an underwriting agreement with the Underwriters pursuant to which we issued and sold an aggregate of 8,257,000 shares of our common stock in an underwritten public offering at a public offering price of $9.75 per share. We refer to this offering as the October 2020 Offering. After deducting underwriting discounts and commissions and offering expenses, we received net proceeds from the October 2020 Offering of approximately $75.4 million.</w:t>
      </w:r>
    </w:p>
    <w:p>
      <w:pPr>
        <w:spacing w:after="0" w:line="188" w:lineRule="exact"/>
        <w:rPr>
          <w:sz w:val="20"/>
          <w:szCs w:val="20"/>
          <w:color w:val="auto"/>
        </w:rPr>
      </w:pPr>
    </w:p>
    <w:p>
      <w:pPr>
        <w:ind w:left="60" w:right="79" w:firstLine="441"/>
        <w:spacing w:after="0" w:line="257" w:lineRule="auto"/>
        <w:rPr>
          <w:sz w:val="20"/>
          <w:szCs w:val="20"/>
          <w:color w:val="auto"/>
        </w:rPr>
      </w:pPr>
      <w:r>
        <w:rPr>
          <w:rFonts w:ascii="Arial" w:cs="Arial" w:eastAsia="Arial" w:hAnsi="Arial"/>
          <w:sz w:val="18"/>
          <w:szCs w:val="18"/>
          <w:color w:val="auto"/>
        </w:rPr>
        <w:t>In December 2020, we entered into an underwriting agreement with the Underwriters pursuant to which we issued and sold an aggregate of 4,283,750 shares of our common stock in an underwritten public offering at a public offering price of $21.50 per share. We refer to this offering as the December 2020 Offering. After deducting underwriting discounts and commissions and offering expenses, we received net proceeds from the December 2020 Offering of approximately $86.4 million.</w:t>
      </w:r>
    </w:p>
    <w:p>
      <w:pPr>
        <w:spacing w:after="0" w:line="188" w:lineRule="exact"/>
        <w:rPr>
          <w:sz w:val="20"/>
          <w:szCs w:val="20"/>
          <w:color w:val="auto"/>
        </w:rPr>
      </w:pPr>
    </w:p>
    <w:p>
      <w:pPr>
        <w:ind w:left="60" w:right="79" w:firstLine="441"/>
        <w:spacing w:after="0" w:line="290" w:lineRule="auto"/>
        <w:rPr>
          <w:sz w:val="20"/>
          <w:szCs w:val="20"/>
          <w:color w:val="auto"/>
        </w:rPr>
      </w:pPr>
      <w:r>
        <w:rPr>
          <w:rFonts w:ascii="Arial" w:cs="Arial" w:eastAsia="Arial" w:hAnsi="Arial"/>
          <w:sz w:val="16"/>
          <w:szCs w:val="16"/>
          <w:color w:val="auto"/>
        </w:rPr>
        <w:t>We believe that our existing cash and cash equivalents of $228.1 million as of December 31, 2020, will enable us to fund our planned operating expenses, debt service obligations and capital expenditure requirements through 2023. This estimate is based on our current operating plan which includes estimates of anticipated cash inflows from DEXTENZA and ReSure Sealant product sales and cash outflows from operating expenses. These estimates are subject to various assumptions including those related to the severity and duration of the COVID-19 pandemic, the revenues and expenses associated with the commercialization of DEXTENZA, the pace of our research and clinical development programs, and other aspects of our business. These and other assumptions upon which we have based our estimate may prove to be wrong, and we could use our capital resources sooner than we currently expect and would therefore need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raise additional capital to support our ongoing operations or adjust our plans accordingly. See “—Liquidity and Capital Resources.”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99" w:firstLine="441"/>
        <w:spacing w:after="0" w:line="259" w:lineRule="auto"/>
        <w:rPr>
          <w:sz w:val="20"/>
          <w:szCs w:val="20"/>
          <w:color w:val="auto"/>
        </w:rPr>
      </w:pPr>
      <w:r>
        <w:rPr>
          <w:rFonts w:ascii="Arial" w:cs="Arial" w:eastAsia="Arial" w:hAnsi="Arial"/>
          <w:sz w:val="18"/>
          <w:szCs w:val="18"/>
          <w:color w:val="auto"/>
        </w:rPr>
        <w:t>From our inception through December 31, 2020, we have generated limited amounts of revenue from the sales of our products. We commenced sales of ReSure Sealant in the first quarter of 2014, but we have received only limited revenues from ReSure Sealant to date and anticipate only limited sales for 2021. Until June 2019, ReSure Sealant was our only source of revenue from product sales.</w:t>
      </w:r>
    </w:p>
    <w:p>
      <w:pPr>
        <w:spacing w:after="0" w:line="187" w:lineRule="exact"/>
        <w:rPr>
          <w:sz w:val="20"/>
          <w:szCs w:val="20"/>
          <w:color w:val="auto"/>
        </w:rPr>
      </w:pPr>
    </w:p>
    <w:p>
      <w:pPr>
        <w:ind w:left="60" w:right="219" w:firstLine="441"/>
        <w:spacing w:after="0" w:line="289" w:lineRule="auto"/>
        <w:rPr>
          <w:sz w:val="20"/>
          <w:szCs w:val="20"/>
          <w:color w:val="auto"/>
        </w:rPr>
      </w:pPr>
      <w:r>
        <w:rPr>
          <w:rFonts w:ascii="Arial" w:cs="Arial" w:eastAsia="Arial" w:hAnsi="Arial"/>
          <w:sz w:val="16"/>
          <w:szCs w:val="16"/>
          <w:color w:val="auto"/>
        </w:rPr>
        <w:t>We began to recognize limited product revenue from DEXTENZA during the second quarter of 2019 with the first commercial shipments to customers in June 2019. As further explained under “—Revenue Recognition—Product Revenue, Net” below, we recognize revenue when we sell DEXTENZA in the United States to a network of specialty distributors, who then resell the product to ambulatory surgical centers, or ASCs, and hospital outpatient departments, or HOPDs. We refer to these resales from the specialty distributors to the ASCs and HOPDs as in-market unit sales. For the first two months of 2021, in-market units sales neared 9,500, representing an increase of greater than 10% over the first two months of the fourth quarter of 2020. We may generate revenue in the future if we continue to commercialize DEXTENZA and develop and commercialize one or more of our product candidates and receive marketing approval for any such product candidate or if we enter into longer-term collaboration agreements with third parties.</w:t>
      </w:r>
    </w:p>
    <w:p>
      <w:pPr>
        <w:spacing w:after="0" w:line="166" w:lineRule="exact"/>
        <w:rPr>
          <w:sz w:val="20"/>
          <w:szCs w:val="20"/>
          <w:color w:val="auto"/>
        </w:rPr>
      </w:pPr>
    </w:p>
    <w:p>
      <w:pPr>
        <w:ind w:left="60" w:right="319" w:firstLine="441"/>
        <w:spacing w:after="0" w:line="259" w:lineRule="auto"/>
        <w:rPr>
          <w:sz w:val="20"/>
          <w:szCs w:val="20"/>
          <w:color w:val="auto"/>
        </w:rPr>
      </w:pPr>
      <w:r>
        <w:rPr>
          <w:rFonts w:ascii="Arial" w:cs="Arial" w:eastAsia="Arial" w:hAnsi="Arial"/>
          <w:sz w:val="18"/>
          <w:szCs w:val="18"/>
          <w:color w:val="auto"/>
        </w:rPr>
        <w:t>For the year ended December 31, 2020, three specialty distributor customers accounted for 42%, 29% and 12% of our total revenue and three specialty distributor customers accounted for 45%, 33% and 15% of our total accounts receivable. No other customer accounted for more than 10% of total revenue or accounts receivable for the year ended December 31, 2020.</w:t>
      </w:r>
    </w:p>
    <w:p>
      <w:pPr>
        <w:spacing w:after="0" w:line="187" w:lineRule="exact"/>
        <w:rPr>
          <w:sz w:val="20"/>
          <w:szCs w:val="20"/>
          <w:color w:val="auto"/>
        </w:rPr>
      </w:pPr>
    </w:p>
    <w:p>
      <w:pPr>
        <w:ind w:left="60" w:right="199" w:firstLine="441"/>
        <w:spacing w:after="0" w:line="259" w:lineRule="auto"/>
        <w:rPr>
          <w:sz w:val="20"/>
          <w:szCs w:val="20"/>
          <w:color w:val="auto"/>
        </w:rPr>
      </w:pPr>
      <w:r>
        <w:rPr>
          <w:rFonts w:ascii="Arial" w:cs="Arial" w:eastAsia="Arial" w:hAnsi="Arial"/>
          <w:sz w:val="18"/>
          <w:szCs w:val="18"/>
          <w:color w:val="auto"/>
        </w:rPr>
        <w:t>For the year ended December 31, 2019, two specialty distributor customers accounted for 27% and 11% of our total revenue and three specialty distributor customers accounted for 39%, 18% and 11% of our total accounts receivable. No other customer accounted for more than 10% of total revenue or accounts receivable for the year ended December 31, 2019.</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Product Revenue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Cost of product revenue consists primarily of costs of DEXTENZA and ReSure product revenue, which include:</w:t>
      </w:r>
    </w:p>
    <w:p>
      <w:pPr>
        <w:spacing w:after="0" w:line="237" w:lineRule="exact"/>
        <w:rPr>
          <w:sz w:val="20"/>
          <w:szCs w:val="20"/>
          <w:color w:val="auto"/>
        </w:rPr>
      </w:pPr>
    </w:p>
    <w:p>
      <w:pPr>
        <w:ind w:left="840" w:hanging="331"/>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Direct materials costs;</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Royalties;</w:t>
      </w:r>
    </w:p>
    <w:p>
      <w:pPr>
        <w:spacing w:after="0" w:line="225" w:lineRule="exact"/>
        <w:rPr>
          <w:rFonts w:ascii="Arial" w:cs="Arial" w:eastAsia="Arial" w:hAnsi="Arial"/>
          <w:sz w:val="18"/>
          <w:szCs w:val="18"/>
          <w:color w:val="auto"/>
        </w:rPr>
      </w:pPr>
    </w:p>
    <w:p>
      <w:pPr>
        <w:ind w:left="840" w:right="299" w:hanging="331"/>
        <w:spacing w:after="0" w:line="308" w:lineRule="auto"/>
        <w:tabs>
          <w:tab w:leader="none" w:pos="8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Direct labor, which includes employee-related expenses, including salaries, related benefits and payroll taxes, travel and stock-based compensation expense for employees engaged in the production process;</w:t>
      </w:r>
    </w:p>
    <w:p>
      <w:pPr>
        <w:spacing w:after="0" w:line="146" w:lineRule="exact"/>
        <w:rPr>
          <w:rFonts w:ascii="Arial" w:cs="Arial" w:eastAsia="Arial" w:hAnsi="Arial"/>
          <w:sz w:val="17"/>
          <w:szCs w:val="17"/>
          <w:color w:val="auto"/>
        </w:rPr>
      </w:pPr>
    </w:p>
    <w:p>
      <w:pPr>
        <w:ind w:left="840" w:right="359" w:hanging="331"/>
        <w:spacing w:after="0" w:line="277" w:lineRule="auto"/>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Manufacturing overhead costs, which includes rent, depreciation, and indirect labor costs associated with the production process;</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Transportation costs; and</w:t>
      </w:r>
    </w:p>
    <w:p>
      <w:pPr>
        <w:spacing w:after="0" w:line="225" w:lineRule="exact"/>
        <w:rPr>
          <w:rFonts w:ascii="Arial" w:cs="Arial" w:eastAsia="Arial" w:hAnsi="Arial"/>
          <w:sz w:val="18"/>
          <w:szCs w:val="18"/>
          <w:color w:val="auto"/>
        </w:rPr>
      </w:pPr>
    </w:p>
    <w:p>
      <w:pPr>
        <w:ind w:left="840" w:hanging="331"/>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 of scrap 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60" w:right="819" w:firstLine="441"/>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development of our product candidates, which include:</w:t>
      </w:r>
    </w:p>
    <w:p>
      <w:pPr>
        <w:spacing w:after="0" w:line="170" w:lineRule="exact"/>
        <w:rPr>
          <w:sz w:val="20"/>
          <w:szCs w:val="20"/>
          <w:color w:val="auto"/>
        </w:rPr>
      </w:pPr>
    </w:p>
    <w:p>
      <w:pPr>
        <w:ind w:left="840" w:right="319" w:hanging="331"/>
        <w:spacing w:after="0" w:line="263" w:lineRule="auto"/>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and payroll taxes, travel and stock-based compensation expense for employees engaged in research and development, clinical and regulatory and other related functions;</w:t>
      </w:r>
    </w:p>
    <w:p>
      <w:pPr>
        <w:spacing w:after="0" w:line="183" w:lineRule="exact"/>
        <w:rPr>
          <w:rFonts w:ascii="Arial" w:cs="Arial" w:eastAsia="Arial" w:hAnsi="Arial"/>
          <w:sz w:val="18"/>
          <w:szCs w:val="18"/>
          <w:color w:val="auto"/>
        </w:rPr>
      </w:pPr>
    </w:p>
    <w:p>
      <w:pPr>
        <w:ind w:left="840" w:right="199" w:hanging="331"/>
        <w:spacing w:after="0" w:line="263" w:lineRule="auto"/>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incurred in connection with the clinical trials of our product candidates, including with the investigative sites that conduct our clinical trials and under agreements with contract research organizations, or CROs;</w:t>
      </w:r>
    </w:p>
    <w:p>
      <w:pPr>
        <w:spacing w:after="0" w:line="183" w:lineRule="exact"/>
        <w:rPr>
          <w:rFonts w:ascii="Arial" w:cs="Arial" w:eastAsia="Arial" w:hAnsi="Arial"/>
          <w:sz w:val="18"/>
          <w:szCs w:val="18"/>
          <w:color w:val="auto"/>
        </w:rPr>
      </w:pPr>
    </w:p>
    <w:p>
      <w:pPr>
        <w:ind w:left="840" w:right="219" w:hanging="331"/>
        <w:spacing w:after="0" w:line="277" w:lineRule="auto"/>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the FDA for our submissions for product approvals;</w:t>
      </w:r>
    </w:p>
    <w:p>
      <w:pPr>
        <w:spacing w:after="0" w:line="170" w:lineRule="exact"/>
        <w:rPr>
          <w:rFonts w:ascii="Arial" w:cs="Arial" w:eastAsia="Arial" w:hAnsi="Arial"/>
          <w:sz w:val="18"/>
          <w:szCs w:val="18"/>
          <w:color w:val="auto"/>
        </w:rPr>
      </w:pPr>
    </w:p>
    <w:p>
      <w:pPr>
        <w:ind w:left="840" w:right="139" w:hanging="331"/>
        <w:spacing w:after="0" w:line="277" w:lineRule="auto"/>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associated with developing our pre-commercial manufacturing capabilities and manufacturing clinical study materials;</w:t>
      </w:r>
    </w:p>
    <w:p>
      <w:pPr>
        <w:spacing w:after="0" w:line="170" w:lineRule="exact"/>
        <w:rPr>
          <w:rFonts w:ascii="Arial" w:cs="Arial" w:eastAsia="Arial" w:hAnsi="Arial"/>
          <w:sz w:val="18"/>
          <w:szCs w:val="18"/>
          <w:color w:val="auto"/>
        </w:rPr>
      </w:pPr>
    </w:p>
    <w:p>
      <w:pPr>
        <w:ind w:left="840" w:right="699" w:hanging="331"/>
        <w:spacing w:after="0" w:line="277" w:lineRule="auto"/>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ongoing research and development activities relating to our core bioresorbable hydrogel technology and improvements to this technology;</w:t>
      </w:r>
    </w:p>
    <w:p>
      <w:pPr>
        <w:spacing w:after="0" w:line="170" w:lineRule="exact"/>
        <w:rPr>
          <w:rFonts w:ascii="Arial" w:cs="Arial" w:eastAsia="Arial" w:hAnsi="Arial"/>
          <w:sz w:val="18"/>
          <w:szCs w:val="18"/>
          <w:color w:val="auto"/>
        </w:rPr>
      </w:pPr>
    </w:p>
    <w:p>
      <w:pPr>
        <w:ind w:left="840" w:right="79" w:hanging="331"/>
        <w:spacing w:after="0" w:line="277" w:lineRule="auto"/>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supplies;</w:t>
      </w:r>
    </w:p>
    <w:p>
      <w:pPr>
        <w:spacing w:after="0" w:line="170" w:lineRule="exact"/>
        <w:rPr>
          <w:rFonts w:ascii="Arial" w:cs="Arial" w:eastAsia="Arial" w:hAnsi="Arial"/>
          <w:sz w:val="18"/>
          <w:szCs w:val="18"/>
          <w:color w:val="auto"/>
        </w:rPr>
      </w:pPr>
    </w:p>
    <w:p>
      <w:pPr>
        <w:ind w:left="840" w:right="539" w:hanging="331"/>
        <w:spacing w:after="0" w:line="277" w:lineRule="auto"/>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relating to the supply and manufacturing of product inventory, prior to approval by the FDA or other regulatory agencies of our products; and</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associated with preclinical development activities.</w:t>
      </w:r>
    </w:p>
    <w:p>
      <w:pPr>
        <w:spacing w:after="0" w:line="225" w:lineRule="exact"/>
        <w:rPr>
          <w:sz w:val="20"/>
          <w:szCs w:val="20"/>
          <w:color w:val="auto"/>
        </w:rPr>
      </w:pPr>
    </w:p>
    <w:p>
      <w:pPr>
        <w:ind w:left="60" w:right="159" w:firstLine="441"/>
        <w:spacing w:after="0" w:line="263"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w:t>
      </w:r>
    </w:p>
    <w:p>
      <w:pPr>
        <w:spacing w:after="0" w:line="184" w:lineRule="exact"/>
        <w:rPr>
          <w:sz w:val="20"/>
          <w:szCs w:val="20"/>
          <w:color w:val="auto"/>
        </w:rPr>
      </w:pPr>
    </w:p>
    <w:p>
      <w:pPr>
        <w:ind w:left="60" w:right="119" w:firstLine="441"/>
        <w:spacing w:after="0" w:line="289" w:lineRule="auto"/>
        <w:rPr>
          <w:sz w:val="20"/>
          <w:szCs w:val="20"/>
          <w:color w:val="auto"/>
        </w:rPr>
      </w:pPr>
      <w:r>
        <w:rPr>
          <w:rFonts w:ascii="Arial" w:cs="Arial" w:eastAsia="Arial" w:hAnsi="Arial"/>
          <w:sz w:val="16"/>
          <w:szCs w:val="16"/>
          <w:color w:val="auto"/>
        </w:rPr>
        <w:t>Our direct research and development expenses are tracked on a program-by-program basis and consist primarily of external costs, such as fees paid to investigators, consultants, central laboratories and CROs in connection with our clinical trials and regulatory fees. We do not allocate employee and contractor-related costs, costs associated with our platform technology, costs related to manufacturing or purchasing clinical trial materials, and facility expenses, including depreciation or other indirect costs, to specific product development programs because these costs are deployed across multiple product development programs and, as such, are not separately classified. We use internal resources in combination with third-party CROs, including clinical monitors and clinical research associates, to manage our clinical trials, monitor patient enrollment and perform data analysis for many of our clinical trials. These employees work across multiple development programs and, therefore, we do not track their costs by program.</w:t>
      </w:r>
    </w:p>
    <w:p>
      <w:pPr>
        <w:spacing w:after="0" w:line="166" w:lineRule="exact"/>
        <w:rPr>
          <w:sz w:val="20"/>
          <w:szCs w:val="20"/>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The successful development and commercialization of our products or product candidates is highly uncertain. This is due to the numerous risks and uncertainties associated with product development and commercialization, including the uncertainty of:</w:t>
      </w:r>
    </w:p>
    <w:p>
      <w:pPr>
        <w:spacing w:after="0" w:line="184" w:lineRule="exact"/>
        <w:rPr>
          <w:sz w:val="20"/>
          <w:szCs w:val="20"/>
          <w:color w:val="auto"/>
        </w:rPr>
      </w:pPr>
    </w:p>
    <w:p>
      <w:pPr>
        <w:ind w:left="840" w:hanging="331"/>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scope, progress, outcome and costs of our clinical trials and other research and development activities;</w:t>
      </w:r>
    </w:p>
    <w:p>
      <w:pPr>
        <w:spacing w:after="0" w:line="236" w:lineRule="exact"/>
        <w:rPr>
          <w:rFonts w:ascii="Arial" w:cs="Arial" w:eastAsia="Arial" w:hAnsi="Arial"/>
          <w:sz w:val="17"/>
          <w:szCs w:val="17"/>
          <w:color w:val="auto"/>
        </w:rPr>
      </w:pPr>
    </w:p>
    <w:p>
      <w:pPr>
        <w:ind w:left="840" w:hanging="331"/>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w:t>
      </w:r>
    </w:p>
    <w:p>
      <w:pPr>
        <w:spacing w:after="0" w:line="225" w:lineRule="exact"/>
        <w:rPr>
          <w:rFonts w:ascii="Arial" w:cs="Arial" w:eastAsia="Arial" w:hAnsi="Arial"/>
          <w:sz w:val="18"/>
          <w:szCs w:val="18"/>
          <w:color w:val="auto"/>
        </w:rPr>
      </w:pPr>
    </w:p>
    <w:p>
      <w:pPr>
        <w:ind w:left="840" w:right="199" w:hanging="331"/>
        <w:spacing w:after="0" w:line="277" w:lineRule="auto"/>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efficacy and potential advantages of our products or product candidates compared to alternative treatments, including any standard of care;</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market acceptance of our products or product candidates;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hanging="331"/>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sz w:val="20"/>
          <w:szCs w:val="20"/>
          <w:color w:val="auto"/>
        </w:rPr>
      </w:pPr>
    </w:p>
    <w:p>
      <w:pPr>
        <w:ind w:left="60" w:right="259" w:firstLine="441"/>
        <w:spacing w:after="0" w:line="291" w:lineRule="auto"/>
        <w:rPr>
          <w:sz w:val="20"/>
          <w:szCs w:val="20"/>
          <w:color w:val="auto"/>
        </w:rPr>
      </w:pPr>
      <w:r>
        <w:rPr>
          <w:rFonts w:ascii="Arial" w:cs="Arial" w:eastAsia="Arial" w:hAnsi="Arial"/>
          <w:sz w:val="16"/>
          <w:szCs w:val="16"/>
          <w:color w:val="auto"/>
        </w:rPr>
        <w:t>Any changes in the outcome of any of these variables with respect to the development of our product candidates in clinical and preclinical development could mean a significant change in the costs and timing associated with the development of these product candidates. For example, if the FDA or another regulatory authority were to require us to conduct clinical trials or other testing beyond those that we currently expect or if we experience significant delays in enrollment in any of our clinical trials, we could be required to expend significant additional financial resources and time on the completion of clinical development of that product candidate. We anticipate that our research and development expenses will increase in the future as we support our continued development of our product candidates.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60" w:right="179" w:firstLine="441"/>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including stock-based compensation, for personnel in executive, finance, information technology, human resources and administrative functions. General and administrative expenses also include insurance, facility-related costs and professional fees for legal, patent, consulting and accounting and audit services.</w:t>
      </w:r>
    </w:p>
    <w:p>
      <w:pPr>
        <w:spacing w:after="0" w:line="187" w:lineRule="exact"/>
        <w:rPr>
          <w:sz w:val="20"/>
          <w:szCs w:val="20"/>
          <w:color w:val="auto"/>
        </w:rPr>
      </w:pPr>
    </w:p>
    <w:p>
      <w:pPr>
        <w:ind w:left="60" w:right="99" w:firstLine="441"/>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the future as we support our continued development and commercialization of our product candidates. We also anticipate that we will continue to incur increased accounting, audit, legal, regulatory, compliance, director and officer insurance costs as well as investor and public relations expenses associated with being a public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left="60" w:right="119" w:firstLine="441"/>
        <w:spacing w:after="0" w:line="287" w:lineRule="auto"/>
        <w:rPr>
          <w:sz w:val="20"/>
          <w:szCs w:val="20"/>
          <w:color w:val="auto"/>
        </w:rPr>
      </w:pPr>
      <w:r>
        <w:rPr>
          <w:rFonts w:ascii="Arial" w:cs="Arial" w:eastAsia="Arial" w:hAnsi="Arial"/>
          <w:sz w:val="16"/>
          <w:szCs w:val="16"/>
          <w:color w:val="auto"/>
        </w:rPr>
        <w:t>Selling and marketing expenses consist primarily of salaries and related costs for personnel in selling and marketing functions as well as consulting and advertising and promotion costs. During the years ended December 31, 2020 and 2019, we incurred limited marketing expenses in connection with ReSure Sealant, which we began commercializing in 2014.</w:t>
      </w:r>
    </w:p>
    <w:p>
      <w:pPr>
        <w:spacing w:after="0" w:line="2"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Selling and marketing expenses for DEXTENZA increased in 2019 due to the product’s July 2019 commercial launch and further increased in 2020 with the continued commercialization of DEXTENZA. We anticipate that our selling and marketing expenses associated with DEXTENZA will continue to increase, particularly as we plan to grow our salesforce supporting DEXTENZA in 2021.</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left="60" w:right="139" w:firstLine="441"/>
        <w:spacing w:after="0" w:line="263"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consists primarily of interest income earned on cash and cash equivalents.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2020 and 2019, our interest income has not been significant due to the low rates of interest being earned on our invested balances.</w:t>
      </w:r>
    </w:p>
    <w:p>
      <w:pPr>
        <w:spacing w:after="0" w:line="184" w:lineRule="exact"/>
        <w:rPr>
          <w:sz w:val="20"/>
          <w:szCs w:val="20"/>
          <w:color w:val="auto"/>
        </w:rPr>
      </w:pPr>
    </w:p>
    <w:p>
      <w:pPr>
        <w:ind w:left="60" w:right="119" w:firstLine="441"/>
        <w:spacing w:after="0" w:line="269"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consists of interest expense on our debt. We borrowed $15.0 million in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in April 2014. We refer to the credit facility under which we drew down this indebtedness, as amended over time, as our Credit Facility. In December 2015, we amended our credit and security agreement, which we refer to, as amended, as our Credit Agreement, to increase the aggregate principal amount borrowed under our Credit Facility to $15.6 million, extend the interest-only payment period through December 2016, and extend the maturity date to December 1, 2019. In March 2017, we amended our Credit Agreement to increase the aggregate principal amount borrowed under our Credit Facility to $18.0 million, extend the interest-only payment period through February 2018, and extend the maturity date to December 1, 2020. In December 2018, we amended the Credit Agreement to increase the aggregate principal amount borrowed under our Credit Facility to $25.0 million, extend the interest-only payment period through December 2020, and extend the maturity date to December 2023.</w:t>
      </w:r>
    </w:p>
    <w:p>
      <w:pPr>
        <w:spacing w:after="0" w:line="185" w:lineRule="exact"/>
        <w:rPr>
          <w:sz w:val="20"/>
          <w:szCs w:val="20"/>
          <w:color w:val="auto"/>
        </w:rPr>
      </w:pPr>
    </w:p>
    <w:p>
      <w:pPr>
        <w:ind w:left="60" w:right="79" w:firstLine="441"/>
        <w:spacing w:after="0" w:line="263" w:lineRule="auto"/>
        <w:rPr>
          <w:sz w:val="20"/>
          <w:szCs w:val="20"/>
          <w:color w:val="auto"/>
        </w:rPr>
      </w:pPr>
      <w:r>
        <w:rPr>
          <w:rFonts w:ascii="Arial" w:cs="Arial" w:eastAsia="Arial" w:hAnsi="Arial"/>
          <w:sz w:val="18"/>
          <w:szCs w:val="18"/>
          <w:color w:val="auto"/>
        </w:rPr>
        <w:t>On March 1, 2019, we issued $37.5 million of the 2026 Convertible Notes. The 2026 Convertible Notes accrue interest at an annual rate of 6% of their outstanding principal amount, payable in cash at maturity, on March 1, 2026, unless earlier converted, repurchased or redeemed.</w:t>
      </w:r>
    </w:p>
    <w:p>
      <w:pPr>
        <w:spacing w:after="0" w:line="184" w:lineRule="exact"/>
        <w:rPr>
          <w:sz w:val="20"/>
          <w:szCs w:val="20"/>
          <w:color w:val="auto"/>
        </w:rPr>
      </w:pPr>
    </w:p>
    <w:p>
      <w:pPr>
        <w:ind w:left="60" w:right="119" w:firstLine="441"/>
        <w:spacing w:after="0" w:line="301" w:lineRule="auto"/>
        <w:rPr>
          <w:sz w:val="20"/>
          <w:szCs w:val="20"/>
          <w:color w:val="auto"/>
        </w:rPr>
      </w:pPr>
      <w:r>
        <w:rPr>
          <w:rFonts w:ascii="Arial" w:cs="Arial" w:eastAsia="Arial" w:hAnsi="Arial"/>
          <w:sz w:val="16"/>
          <w:szCs w:val="16"/>
          <w:i w:val="1"/>
          <w:iCs w:val="1"/>
          <w:color w:val="auto"/>
        </w:rPr>
        <w:t xml:space="preserve">Change in Fair Value of Derivative Liability. </w:t>
      </w:r>
      <w:r>
        <w:rPr>
          <w:rFonts w:ascii="Arial" w:cs="Arial" w:eastAsia="Arial" w:hAnsi="Arial"/>
          <w:sz w:val="16"/>
          <w:szCs w:val="16"/>
          <w:color w:val="auto"/>
        </w:rPr>
        <w:t>In 2019, in connection with the issuance of our 2026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Notes, we identified an embedded derivative liability, which we are required to measure at fair value at inception and then at the end of each reporting period until the embedded derivative is settled. The changes in fair value are recorded through the statement of operations and comprehensive loss and are presented under the caption change in fair value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derivative liability. Our derivative liability calculations are further described under the heading “—Critical Accounting Policies and Significant Judgments and Estimates—Derivative Liability” below.</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60" w:right="119" w:firstLine="441"/>
        <w:spacing w:after="0" w:line="289"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of America. The preparation of our consolidated financial statements and related disclosures requires us to make estimates, assumptions and judgments that affect the reported amounts of assets, liabilities, revenue, costs and expenses, and the disclosure of contingent assets and liabilities in our consolidated financial statements. On an ongoing basis, we evaluate our estimates and judgments, including those related to revenue recognition, accrued research and development expenses and stock-based compensation.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left="60" w:right="99" w:firstLine="441"/>
        <w:spacing w:after="0" w:line="286"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elsewhere in this annual report, we believe the following accounting policies to be most critical to the judgments and estimates used in the preparation of our consolidated financial statements.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139" w:firstLine="441"/>
        <w:spacing w:after="0" w:line="263" w:lineRule="auto"/>
        <w:rPr>
          <w:sz w:val="20"/>
          <w:szCs w:val="20"/>
          <w:color w:val="auto"/>
        </w:rPr>
      </w:pPr>
      <w:r>
        <w:rPr>
          <w:rFonts w:ascii="Arial" w:cs="Arial" w:eastAsia="Arial" w:hAnsi="Arial"/>
          <w:sz w:val="18"/>
          <w:szCs w:val="18"/>
          <w:color w:val="auto"/>
        </w:rPr>
        <w:t>We recognize product revenue from DEXTENZA for the treatment of post-surgical ocular inflammation and pain, which we began selling to customers in June 2019, and ReSure Sealant. We have generated limited revenues from ReSure Sealant to date and do not expect significant future sales.</w:t>
      </w:r>
    </w:p>
    <w:p>
      <w:pPr>
        <w:spacing w:after="0" w:line="184" w:lineRule="exact"/>
        <w:rPr>
          <w:sz w:val="20"/>
          <w:szCs w:val="20"/>
          <w:color w:val="auto"/>
        </w:rPr>
      </w:pPr>
    </w:p>
    <w:p>
      <w:pPr>
        <w:ind w:left="60" w:right="179" w:firstLine="441"/>
        <w:spacing w:after="0" w:line="254" w:lineRule="auto"/>
        <w:rPr>
          <w:sz w:val="20"/>
          <w:szCs w:val="20"/>
          <w:color w:val="auto"/>
        </w:rPr>
      </w:pPr>
      <w:r>
        <w:rPr>
          <w:rFonts w:ascii="Arial" w:cs="Arial" w:eastAsia="Arial" w:hAnsi="Arial"/>
          <w:sz w:val="18"/>
          <w:szCs w:val="18"/>
          <w:color w:val="auto"/>
        </w:rPr>
        <w:t xml:space="preserve">In November 2018, the FDA approved DEXTENZA for the treatment of ocular pain following ophthalmic surgery. We entered into a limited number of arrangements with specialty distributors in the United States to distribute DEXTENZA. Accounting Standards Codification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Topic 606, applies to all contracts with customers, except for contracts that are within the scope of other standards, such as leases, insurance arrangements and financial instruments. Under Topic 606, an entity recognizes revenue when its customer obtains control of promised goods or services, in an amount that reflects the consideration which the entity expects to be entitled to in exchange for those goods or services.</w:t>
      </w:r>
    </w:p>
    <w:p>
      <w:pPr>
        <w:spacing w:after="0" w:line="195" w:lineRule="exact"/>
        <w:rPr>
          <w:sz w:val="20"/>
          <w:szCs w:val="20"/>
          <w:color w:val="auto"/>
        </w:rPr>
      </w:pPr>
    </w:p>
    <w:p>
      <w:pPr>
        <w:ind w:left="60" w:right="79" w:firstLine="441"/>
        <w:spacing w:after="0" w:line="287" w:lineRule="auto"/>
        <w:rPr>
          <w:sz w:val="20"/>
          <w:szCs w:val="20"/>
          <w:color w:val="auto"/>
        </w:rPr>
      </w:pPr>
      <w:r>
        <w:rPr>
          <w:rFonts w:ascii="Arial" w:cs="Arial" w:eastAsia="Arial" w:hAnsi="Arial"/>
          <w:sz w:val="16"/>
          <w:szCs w:val="16"/>
          <w:color w:val="auto"/>
        </w:rPr>
        <w:t>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arrangements that meet the definition of a contract with a customer under Topic 606, including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For a complete discussion of accounting for product revenue, see Product Revenue, Net (below).</w:t>
      </w:r>
    </w:p>
    <w:p>
      <w:pPr>
        <w:spacing w:after="0" w:line="172" w:lineRule="exact"/>
        <w:rPr>
          <w:sz w:val="20"/>
          <w:szCs w:val="20"/>
          <w:color w:val="auto"/>
        </w:rPr>
      </w:pPr>
    </w:p>
    <w:p>
      <w:pPr>
        <w:ind w:left="60" w:right="119" w:firstLine="441"/>
        <w:spacing w:after="0" w:line="257" w:lineRule="auto"/>
        <w:rPr>
          <w:sz w:val="20"/>
          <w:szCs w:val="20"/>
          <w:color w:val="auto"/>
        </w:rPr>
      </w:pPr>
      <w:r>
        <w:rPr>
          <w:rFonts w:ascii="Arial" w:cs="Arial" w:eastAsia="Arial" w:hAnsi="Arial"/>
          <w:sz w:val="18"/>
          <w:szCs w:val="18"/>
          <w:i w:val="1"/>
          <w:iCs w:val="1"/>
          <w:color w:val="auto"/>
        </w:rPr>
        <w:t>Product Revenue, Net</w:t>
      </w:r>
      <w:r>
        <w:rPr>
          <w:rFonts w:ascii="Arial" w:cs="Arial" w:eastAsia="Arial" w:hAnsi="Arial"/>
          <w:sz w:val="18"/>
          <w:szCs w:val="18"/>
          <w:color w:val="auto"/>
        </w:rPr>
        <w:t>— We derive our product revenues from the sale of DEXTENZA in the United States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which includes a limited number of specialty distributors, who then subsequently resell DEXTENZA to physicians, clinics and certain medical centers or hospitals. In addition to distribution agreements with customers, we enter into arrangements with government payers that provide for government mandated rebates and chargebacks with respect to the purchase of DEXTENZA.</w:t>
      </w:r>
    </w:p>
    <w:p>
      <w:pPr>
        <w:spacing w:after="0" w:line="188" w:lineRule="exact"/>
        <w:rPr>
          <w:sz w:val="20"/>
          <w:szCs w:val="20"/>
          <w:color w:val="auto"/>
        </w:rPr>
      </w:pPr>
    </w:p>
    <w:p>
      <w:pPr>
        <w:jc w:val="both"/>
        <w:ind w:left="60" w:right="99" w:firstLine="441"/>
        <w:spacing w:after="0" w:line="293" w:lineRule="auto"/>
        <w:rPr>
          <w:sz w:val="20"/>
          <w:szCs w:val="20"/>
          <w:color w:val="auto"/>
        </w:rPr>
      </w:pPr>
      <w:r>
        <w:rPr>
          <w:rFonts w:ascii="Arial" w:cs="Arial" w:eastAsia="Arial" w:hAnsi="Arial"/>
          <w:sz w:val="16"/>
          <w:szCs w:val="16"/>
          <w:color w:val="auto"/>
        </w:rPr>
        <w:t>We recognize revenue on product sales when the customer obtains control of our product, which occurs at a point in time (upon delivery to the customer). We have determined that the delivery of DEXTENZA to our customers constitutes a single performance obligation. There are no other promises to deliver goods or services beyond what is specified in each accepted customer order. We have assessed the existence of a significant financing component in the agreements with our customers. The trade payment terms with our customers do not exceed one year and therefore we have elected to apply the practical expedient and no amount of consideration has been allocated as a financing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component. Product revenues are recorded net of applicable reserves for variable consideration, including discounts and allowances.</w:t>
      </w:r>
    </w:p>
    <w:p>
      <w:pPr>
        <w:spacing w:after="0" w:line="170" w:lineRule="exact"/>
        <w:rPr>
          <w:sz w:val="20"/>
          <w:szCs w:val="20"/>
          <w:color w:val="auto"/>
        </w:rPr>
      </w:pPr>
    </w:p>
    <w:p>
      <w:pPr>
        <w:ind w:left="60" w:right="59" w:firstLine="441"/>
        <w:spacing w:after="0" w:line="287" w:lineRule="auto"/>
        <w:rPr>
          <w:sz w:val="20"/>
          <w:szCs w:val="20"/>
          <w:color w:val="auto"/>
        </w:rPr>
      </w:pPr>
      <w:r>
        <w:rPr>
          <w:rFonts w:ascii="Arial" w:cs="Arial" w:eastAsia="Arial" w:hAnsi="Arial"/>
          <w:sz w:val="16"/>
          <w:szCs w:val="16"/>
          <w:i w:val="1"/>
          <w:iCs w:val="1"/>
          <w:color w:val="auto"/>
        </w:rPr>
        <w:t>Transaction Price, including Variable Consideration</w:t>
      </w:r>
      <w:r>
        <w:rPr>
          <w:rFonts w:ascii="Arial" w:cs="Arial" w:eastAsia="Arial" w:hAnsi="Arial"/>
          <w:sz w:val="16"/>
          <w:szCs w:val="16"/>
          <w:color w:val="auto"/>
        </w:rPr>
        <w:t>— Revenues from product sales are recorded at the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price (transaction price), which includes estimates of variable consideration for which reserves are established. Components of variable consideration include trade discounts and allowances, product returns, government chargebacks, discounts and rebates, and other incentives, such as voluntary patient assistance, and other fee-for-service amounts that are detailed within contracts between us and our customers relating to our sale of DEXTENZA. These reserves, as detailed below, are based on the amounts earned, or to be claimed on the related sales, and are classified as reductions of accounts receivable or a current liability.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respective underlying contracts.</w:t>
      </w:r>
    </w:p>
    <w:p>
      <w:pPr>
        <w:spacing w:after="0" w:line="172" w:lineRule="exact"/>
        <w:rPr>
          <w:sz w:val="20"/>
          <w:szCs w:val="20"/>
          <w:color w:val="auto"/>
        </w:rPr>
      </w:pPr>
    </w:p>
    <w:p>
      <w:pPr>
        <w:ind w:left="60" w:right="159" w:firstLine="441"/>
        <w:spacing w:after="0" w:line="296" w:lineRule="auto"/>
        <w:rPr>
          <w:sz w:val="20"/>
          <w:szCs w:val="20"/>
          <w:color w:val="auto"/>
        </w:rPr>
      </w:pPr>
      <w:r>
        <w:rPr>
          <w:rFonts w:ascii="Arial" w:cs="Arial" w:eastAsia="Arial" w:hAnsi="Arial"/>
          <w:sz w:val="16"/>
          <w:szCs w:val="16"/>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our estimates. If actual results in the future vary from our original estimates, we will adjust these estimates, which would affect net product revenue and earnings in the period such variances become known.</w:t>
      </w:r>
    </w:p>
    <w:p>
      <w:pPr>
        <w:spacing w:after="0" w:line="161" w:lineRule="exact"/>
        <w:rPr>
          <w:sz w:val="20"/>
          <w:szCs w:val="20"/>
          <w:color w:val="auto"/>
        </w:rPr>
      </w:pPr>
    </w:p>
    <w:p>
      <w:pPr>
        <w:ind w:left="60" w:right="139" w:firstLine="441"/>
        <w:spacing w:after="0" w:line="257" w:lineRule="auto"/>
        <w:rPr>
          <w:sz w:val="20"/>
          <w:szCs w:val="20"/>
          <w:color w:val="auto"/>
        </w:rPr>
      </w:pPr>
      <w:r>
        <w:rPr>
          <w:rFonts w:ascii="Arial" w:cs="Arial" w:eastAsia="Arial" w:hAnsi="Arial"/>
          <w:sz w:val="18"/>
          <w:szCs w:val="18"/>
          <w:i w:val="1"/>
          <w:iCs w:val="1"/>
          <w:color w:val="auto"/>
        </w:rPr>
        <w:t>Trade Discounts and Allowances</w:t>
      </w:r>
      <w:r>
        <w:rPr>
          <w:rFonts w:ascii="Arial" w:cs="Arial" w:eastAsia="Arial" w:hAnsi="Arial"/>
          <w:sz w:val="18"/>
          <w:szCs w:val="18"/>
          <w:color w:val="auto"/>
        </w:rPr>
        <w:t>—We compensate (through trade discounts and allowances) our customers for sales</w:t>
      </w:r>
      <w:r>
        <w:rPr>
          <w:rFonts w:ascii="Arial" w:cs="Arial" w:eastAsia="Arial" w:hAnsi="Arial"/>
          <w:sz w:val="18"/>
          <w:szCs w:val="18"/>
          <w:i w:val="1"/>
          <w:iCs w:val="1"/>
          <w:color w:val="auto"/>
        </w:rPr>
        <w:t xml:space="preserve"> </w:t>
      </w:r>
      <w:r>
        <w:rPr>
          <w:rFonts w:ascii="Arial" w:cs="Arial" w:eastAsia="Arial" w:hAnsi="Arial"/>
          <w:sz w:val="18"/>
          <w:szCs w:val="18"/>
          <w:color w:val="auto"/>
        </w:rPr>
        <w:t>order management, data, and distribution services. However, we have determined such services received to date are not distinct from our sale of products to the customer and, therefore, these payments have been recorded as a reduction of revenue within the statement of operations and comprehensive loss, as well as a reduction to trade receivables, net on the consolidated balance sheets.</w:t>
      </w:r>
    </w:p>
    <w:p>
      <w:pPr>
        <w:spacing w:after="0" w:line="188" w:lineRule="exact"/>
        <w:rPr>
          <w:sz w:val="20"/>
          <w:szCs w:val="20"/>
          <w:color w:val="auto"/>
        </w:rPr>
      </w:pPr>
    </w:p>
    <w:p>
      <w:pPr>
        <w:ind w:left="60" w:right="99" w:firstLine="441"/>
        <w:spacing w:after="0" w:line="272" w:lineRule="auto"/>
        <w:rPr>
          <w:sz w:val="20"/>
          <w:szCs w:val="20"/>
          <w:color w:val="auto"/>
        </w:rPr>
      </w:pPr>
      <w:r>
        <w:rPr>
          <w:rFonts w:ascii="Arial" w:cs="Arial" w:eastAsia="Arial" w:hAnsi="Arial"/>
          <w:sz w:val="17"/>
          <w:szCs w:val="17"/>
          <w:i w:val="1"/>
          <w:iCs w:val="1"/>
          <w:color w:val="auto"/>
        </w:rPr>
        <w:t>Product Returns</w:t>
      </w:r>
      <w:r>
        <w:rPr>
          <w:rFonts w:ascii="Arial" w:cs="Arial" w:eastAsia="Arial" w:hAnsi="Arial"/>
          <w:sz w:val="17"/>
          <w:szCs w:val="17"/>
          <w:color w:val="auto"/>
        </w:rPr>
        <w:t>— Consistent with industry practice, we generally offers customers a limited right of return for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that has been purchased from us in certain circumstances as further discussed below. We estimate the amount of our product sales that may be returned by our customers and record this estimate as a reduction of revenue in the period the related product revenue is recognized, as well as within accrued expenses and other current liabilities, in the accompanying consolidated balance sheets. We currently estimate product return reserves using available industry data and our own sales information, including its visibility into the inventory remaining in the distribution channel. We have received no returns to date and believe the returns of DEXTENZA will be minimal.</w:t>
      </w:r>
    </w:p>
    <w:p>
      <w:pPr>
        <w:spacing w:after="0" w:line="177" w:lineRule="exact"/>
        <w:rPr>
          <w:sz w:val="20"/>
          <w:szCs w:val="20"/>
          <w:color w:val="auto"/>
        </w:rPr>
      </w:pPr>
    </w:p>
    <w:p>
      <w:pPr>
        <w:ind w:left="60" w:right="219" w:firstLine="441"/>
        <w:spacing w:after="0" w:line="286" w:lineRule="auto"/>
        <w:rPr>
          <w:sz w:val="20"/>
          <w:szCs w:val="20"/>
          <w:color w:val="auto"/>
        </w:rPr>
      </w:pPr>
      <w:r>
        <w:rPr>
          <w:rFonts w:ascii="Arial" w:cs="Arial" w:eastAsia="Arial" w:hAnsi="Arial"/>
          <w:sz w:val="16"/>
          <w:szCs w:val="16"/>
          <w:i w:val="1"/>
          <w:iCs w:val="1"/>
          <w:color w:val="auto"/>
        </w:rPr>
        <w:t>Government Chargebacks</w:t>
      </w:r>
      <w:r>
        <w:rPr>
          <w:rFonts w:ascii="Arial" w:cs="Arial" w:eastAsia="Arial" w:hAnsi="Arial"/>
          <w:sz w:val="16"/>
          <w:szCs w:val="16"/>
          <w:color w:val="auto"/>
        </w:rPr>
        <w:t>— Chargebacks for fees and discounts to qualified government healthcare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 the estimated obligations resulting from contractual commitments to sell products to qualified </w:t>
      </w:r>
      <w:r>
        <w:rPr>
          <w:rFonts w:ascii="Arial" w:cs="Arial" w:eastAsia="Arial" w:hAnsi="Arial"/>
          <w:sz w:val="16"/>
          <w:szCs w:val="16"/>
          <w:color w:val="222222"/>
        </w:rPr>
        <w:t>U.S.</w:t>
      </w:r>
      <w:r>
        <w:rPr>
          <w:rFonts w:ascii="Arial" w:cs="Arial" w:eastAsia="Arial" w:hAnsi="Arial"/>
          <w:sz w:val="16"/>
          <w:szCs w:val="16"/>
          <w:color w:val="auto"/>
        </w:rPr>
        <w:t xml:space="preserve"> Department of Veterans Affairs hospitals and 340B entities at prices lower than the list prices charged to customers who directly purchase the product from us. </w:t>
      </w:r>
      <w:r>
        <w:rPr>
          <w:rFonts w:ascii="Arial" w:cs="Arial" w:eastAsia="Arial" w:hAnsi="Arial"/>
          <w:sz w:val="16"/>
          <w:szCs w:val="16"/>
          <w:color w:val="222222"/>
        </w:rPr>
        <w:t>The 340B Drug Discount Program is a U.S. federal government program created in 1992</w:t>
      </w:r>
      <w:r>
        <w:rPr>
          <w:rFonts w:ascii="Arial" w:cs="Arial" w:eastAsia="Arial" w:hAnsi="Arial"/>
          <w:sz w:val="16"/>
          <w:szCs w:val="16"/>
          <w:color w:val="auto"/>
        </w:rPr>
        <w:t xml:space="preserve"> </w:t>
      </w:r>
      <w:r>
        <w:rPr>
          <w:rFonts w:ascii="Arial" w:cs="Arial" w:eastAsia="Arial" w:hAnsi="Arial"/>
          <w:sz w:val="16"/>
          <w:szCs w:val="16"/>
          <w:color w:val="222222"/>
        </w:rPr>
        <w:t xml:space="preserve">that requires drug manufacturers to provide outpatient drugs to eligible health care organizations and covered entities at significantly reduced prices. </w:t>
      </w:r>
      <w:r>
        <w:rPr>
          <w:rFonts w:ascii="Arial" w:cs="Arial" w:eastAsia="Arial" w:hAnsi="Arial"/>
          <w:sz w:val="16"/>
          <w:szCs w:val="16"/>
          <w:color w:val="000000"/>
        </w:rPr>
        <w:t>Customers charge us for the difference between what they pay for the product and the</w:t>
      </w:r>
      <w:r>
        <w:rPr>
          <w:rFonts w:ascii="Arial" w:cs="Arial" w:eastAsia="Arial" w:hAnsi="Arial"/>
          <w:sz w:val="16"/>
          <w:szCs w:val="16"/>
          <w:color w:val="222222"/>
        </w:rPr>
        <w:t xml:space="preserve"> </w:t>
      </w:r>
      <w:r>
        <w:rPr>
          <w:rFonts w:ascii="Arial" w:cs="Arial" w:eastAsia="Arial" w:hAnsi="Arial"/>
          <w:sz w:val="16"/>
          <w:szCs w:val="16"/>
          <w:color w:val="000000"/>
        </w:rPr>
        <w:t>statutory selling price to the qualified government entity. These allowances are established in the same period that the related revenue is recognized, resulting in a reduction of product revenue and trade receivables, net. Chargeback amounts are generally determined at the time of resale to the qualified government healthcare provider by customers, and we generally issue credits for such amounts within a few weeks of the customer’s notification to us of the resale. Allowances for chargebacks consist of credits that we expect to issue for units that remain in the distribution channel inventories at each reporting period-end that we expect will be sold to qualified healthcare providers, and chargebacks that customers have claimed, but for which we have not yet issued a credit.</w:t>
      </w:r>
    </w:p>
    <w:p>
      <w:pPr>
        <w:spacing w:after="0" w:line="174" w:lineRule="exact"/>
        <w:rPr>
          <w:sz w:val="20"/>
          <w:szCs w:val="20"/>
          <w:color w:val="auto"/>
        </w:rPr>
      </w:pPr>
    </w:p>
    <w:p>
      <w:pPr>
        <w:ind w:left="60" w:right="159" w:firstLine="441"/>
        <w:spacing w:after="0" w:line="290" w:lineRule="auto"/>
        <w:rPr>
          <w:sz w:val="20"/>
          <w:szCs w:val="20"/>
          <w:color w:val="auto"/>
        </w:rPr>
      </w:pPr>
      <w:r>
        <w:rPr>
          <w:rFonts w:ascii="Arial" w:cs="Arial" w:eastAsia="Arial" w:hAnsi="Arial"/>
          <w:sz w:val="16"/>
          <w:szCs w:val="16"/>
          <w:i w:val="1"/>
          <w:iCs w:val="1"/>
          <w:color w:val="auto"/>
        </w:rPr>
        <w:t>Government Rebates</w:t>
      </w:r>
      <w:r>
        <w:rPr>
          <w:rFonts w:ascii="Arial" w:cs="Arial" w:eastAsia="Arial" w:hAnsi="Arial"/>
          <w:sz w:val="16"/>
          <w:szCs w:val="16"/>
          <w:color w:val="auto"/>
        </w:rPr>
        <w:t>— We are subject to discount obligations under state Medicaid programs and Medicare. These</w:t>
      </w:r>
      <w:r>
        <w:rPr>
          <w:rFonts w:ascii="Arial" w:cs="Arial" w:eastAsia="Arial" w:hAnsi="Arial"/>
          <w:sz w:val="16"/>
          <w:szCs w:val="16"/>
          <w:i w:val="1"/>
          <w:iCs w:val="1"/>
          <w:color w:val="auto"/>
        </w:rPr>
        <w:t xml:space="preserve"> </w:t>
      </w:r>
      <w:r>
        <w:rPr>
          <w:rFonts w:ascii="Arial" w:cs="Arial" w:eastAsia="Arial" w:hAnsi="Arial"/>
          <w:sz w:val="16"/>
          <w:szCs w:val="16"/>
          <w:color w:val="auto"/>
        </w:rPr>
        <w:t>reserves are recorded in the same period the related revenue is recognized, resulting in a reduction of product revenue and the establishment of a current liability which is included in accrued expenses and other current liabilities on the consolidated balance sheets. For Medicare, we also estimate the number of patients in the prescription drug coverage gap for whom we will owe an additional liability under the Medicare Part D program. For Medicaid programs, we estimate the portion of sales attributed to Medicaid patients and record a liability for the rebates to be paid to the respective state Medicaid programs. Our liability for these rebates consists of invoices received for claims from prior quarters that have not been paid or for which an invoice has not yet been received, estimates of claims for the current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quarter, and estimated future claims that will be made for product that has been recognized as revenue, but which remains in the distribution channel inventories at the end of each reporting period.</w:t>
      </w:r>
    </w:p>
    <w:p>
      <w:pPr>
        <w:spacing w:after="0" w:line="170" w:lineRule="exact"/>
        <w:rPr>
          <w:sz w:val="20"/>
          <w:szCs w:val="20"/>
          <w:color w:val="auto"/>
        </w:rPr>
      </w:pPr>
    </w:p>
    <w:p>
      <w:pPr>
        <w:ind w:left="60" w:right="79" w:firstLine="441"/>
        <w:spacing w:after="0" w:line="291" w:lineRule="auto"/>
        <w:rPr>
          <w:sz w:val="20"/>
          <w:szCs w:val="20"/>
          <w:color w:val="auto"/>
        </w:rPr>
      </w:pPr>
      <w:r>
        <w:rPr>
          <w:rFonts w:ascii="Arial" w:cs="Arial" w:eastAsia="Arial" w:hAnsi="Arial"/>
          <w:sz w:val="16"/>
          <w:szCs w:val="16"/>
          <w:i w:val="1"/>
          <w:iCs w:val="1"/>
          <w:color w:val="auto"/>
        </w:rPr>
        <w:t>Rebates</w:t>
      </w:r>
      <w:r>
        <w:rPr>
          <w:rFonts w:ascii="Arial" w:cs="Arial" w:eastAsia="Arial" w:hAnsi="Arial"/>
          <w:sz w:val="16"/>
          <w:szCs w:val="16"/>
          <w:color w:val="auto"/>
        </w:rPr>
        <w:t>— We offer rebate payments for which ASCs, HOPDs and other prescribers qualify by meeting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volumes of DEXTENZA under our rebate program. We calculate rebate payment amounts due under this program based on actual qualifying purchase and apply a contractual discount rate. The calculation of the accrual for rebates is based on an estimate of claims that we expect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as an accrued expenses and other current liabilities on the consolidated balance sheets.</w:t>
      </w:r>
    </w:p>
    <w:p>
      <w:pPr>
        <w:spacing w:after="0" w:line="166" w:lineRule="exact"/>
        <w:rPr>
          <w:sz w:val="20"/>
          <w:szCs w:val="20"/>
          <w:color w:val="auto"/>
        </w:rPr>
      </w:pPr>
    </w:p>
    <w:p>
      <w:pPr>
        <w:ind w:left="60" w:right="159" w:firstLine="441"/>
        <w:spacing w:after="0" w:line="254" w:lineRule="auto"/>
        <w:rPr>
          <w:sz w:val="20"/>
          <w:szCs w:val="20"/>
          <w:color w:val="auto"/>
        </w:rPr>
      </w:pPr>
      <w:r>
        <w:rPr>
          <w:rFonts w:ascii="Arial" w:cs="Arial" w:eastAsia="Arial" w:hAnsi="Arial"/>
          <w:sz w:val="18"/>
          <w:szCs w:val="18"/>
          <w:i w:val="1"/>
          <w:iCs w:val="1"/>
          <w:color w:val="auto"/>
        </w:rPr>
        <w:t>Other Incentives</w:t>
      </w:r>
      <w:r>
        <w:rPr>
          <w:rFonts w:ascii="Arial" w:cs="Arial" w:eastAsia="Arial" w:hAnsi="Arial"/>
          <w:sz w:val="18"/>
          <w:szCs w:val="18"/>
          <w:color w:val="auto"/>
        </w:rPr>
        <w:t>— Other incentives which we offer include voluntary patient assistance programs, such as the co-pay assistance program, which are intended to provide financial assistance to qualified commercially-insured patients with prescription drug co-payments required by payers. The calculation of the accrual for co-pay assistance is based on an estimate of claims and the cost per claim that we expect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as an accrued expenses and other current liabilities on the consolidated balance sheets.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25" w:lineRule="exact"/>
        <w:rPr>
          <w:sz w:val="20"/>
          <w:szCs w:val="20"/>
          <w:color w:val="auto"/>
        </w:rPr>
      </w:pPr>
    </w:p>
    <w:p>
      <w:pPr>
        <w:ind w:left="60" w:right="59" w:firstLine="441"/>
        <w:spacing w:after="0" w:line="270" w:lineRule="auto"/>
        <w:rPr>
          <w:sz w:val="20"/>
          <w:szCs w:val="20"/>
          <w:color w:val="auto"/>
        </w:rPr>
      </w:pPr>
      <w:r>
        <w:rPr>
          <w:rFonts w:ascii="Arial" w:cs="Arial" w:eastAsia="Arial" w:hAnsi="Arial"/>
          <w:sz w:val="17"/>
          <w:szCs w:val="17"/>
          <w:color w:val="auto"/>
        </w:rPr>
        <w:t>The 2026 Convertible Notes allow the holders to convert all or part of the outstanding principal of their 2026 Convertible Notes into shares our common stock provided that no conversion results in a holder beneficially owning more than 19.99% of our issued and outstanding common stock. The entire embedded conversion option is required to be separated from the 2026 Convertible Notes and accounted for as a freestanding derivative instrument subject to derivative accounting. Therefore, the entire conversion option is bifurcated from the underlying debt instrument and accounted for and valued separately from the host instrument. We measure the value of the embedded conversion option at its estimated fair value and recognize changes in the estimated fair value in other income (expense), net in the consolidated statements of operations and comprehensive loss during the period of change. The embedded conversion is recognized as a derivative liability in our consolidated balance sheet.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2020 and December 31, 2019</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our results of operations for the years ended December 31, 2020 and 2019:</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740"/>
              <w:spacing w:after="0"/>
              <w:rPr>
                <w:sz w:val="20"/>
                <w:szCs w:val="20"/>
                <w:color w:val="auto"/>
              </w:rPr>
            </w:pPr>
            <w:r>
              <w:rPr>
                <w:rFonts w:ascii="Arial" w:cs="Arial" w:eastAsia="Arial" w:hAnsi="Arial"/>
                <w:sz w:val="18"/>
                <w:szCs w:val="18"/>
                <w:color w:val="auto"/>
              </w:rPr>
              <w:t>Product revenue, net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17,403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4,227</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Total revenue, net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Costs and operating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(12,397)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9"/>
              </w:rPr>
              <w:t>Total costs and operating expenses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(85,802)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Change in fair value of derivative liability</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(86,189)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(90,499)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118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(92,789)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(92,219)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(155,636)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(86,372)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(69,264)</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Gross-to-Net Deductions</w:t>
      </w:r>
    </w:p>
    <w:p>
      <w:pPr>
        <w:spacing w:after="0" w:line="212" w:lineRule="exact"/>
        <w:rPr>
          <w:sz w:val="20"/>
          <w:szCs w:val="20"/>
          <w:color w:val="auto"/>
        </w:rPr>
      </w:pPr>
    </w:p>
    <w:p>
      <w:pPr>
        <w:ind w:left="60" w:right="319" w:firstLine="298"/>
        <w:spacing w:after="0" w:line="257" w:lineRule="auto"/>
        <w:rPr>
          <w:sz w:val="20"/>
          <w:szCs w:val="20"/>
          <w:color w:val="auto"/>
        </w:rPr>
      </w:pPr>
      <w:r>
        <w:rPr>
          <w:rFonts w:ascii="Arial" w:cs="Arial" w:eastAsia="Arial" w:hAnsi="Arial"/>
          <w:sz w:val="18"/>
          <w:szCs w:val="18"/>
          <w:color w:val="auto"/>
        </w:rPr>
        <w:t>We record DEXTENZA product sales net of estimated chargebacks, rebates, distribution fees and product returns. These deductions are generally referred to as gross-to-net deductions. Our total gross-to-net provisions for the years ended December 31, 2020 and 2019 were 22.2% and 16.3%, respectively, of gross DEXTENZA product sales. In 2020, we introduced a rebate program under a purchase volume-discount program that primarily relates to the change over the prior year in the gross-to-net provisions.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Chargebacks and Rebates</w:t>
      </w:r>
    </w:p>
    <w:p>
      <w:pPr>
        <w:spacing w:after="0" w:line="212" w:lineRule="exact"/>
        <w:rPr>
          <w:sz w:val="20"/>
          <w:szCs w:val="20"/>
          <w:color w:val="auto"/>
        </w:rPr>
      </w:pPr>
    </w:p>
    <w:p>
      <w:pPr>
        <w:ind w:left="60" w:right="139" w:firstLine="298"/>
        <w:spacing w:after="0" w:line="279" w:lineRule="auto"/>
        <w:rPr>
          <w:sz w:val="20"/>
          <w:szCs w:val="20"/>
          <w:color w:val="auto"/>
        </w:rPr>
      </w:pPr>
      <w:r>
        <w:rPr>
          <w:rFonts w:ascii="Arial" w:cs="Arial" w:eastAsia="Arial" w:hAnsi="Arial"/>
          <w:sz w:val="17"/>
          <w:szCs w:val="17"/>
          <w:color w:val="auto"/>
        </w:rPr>
        <w:t>We record a provision for estimated chargebacks and rebates at the time we recognize DEXTENZA product sales revenue and reduce the accrual when payments are made or credits are granted. Our chargebacks are related to a pharmaceutical pricing agreement, a federal supply schedule agreement, a 340B prime vendor agreement, a Medicaid drug rebate agreement and beginning in 2020, rebates under our purchase volume-discount programs.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Distribution Fees and Product Return Allowances</w:t>
      </w:r>
    </w:p>
    <w:p>
      <w:pPr>
        <w:spacing w:after="0" w:line="212" w:lineRule="exact"/>
        <w:rPr>
          <w:sz w:val="20"/>
          <w:szCs w:val="20"/>
          <w:color w:val="auto"/>
        </w:rPr>
      </w:pPr>
    </w:p>
    <w:p>
      <w:pPr>
        <w:jc w:val="both"/>
        <w:ind w:left="60" w:right="119" w:firstLine="298"/>
        <w:spacing w:after="0" w:line="263" w:lineRule="auto"/>
        <w:rPr>
          <w:sz w:val="20"/>
          <w:szCs w:val="20"/>
          <w:color w:val="auto"/>
        </w:rPr>
      </w:pPr>
      <w:r>
        <w:rPr>
          <w:rFonts w:ascii="Arial" w:cs="Arial" w:eastAsia="Arial" w:hAnsi="Arial"/>
          <w:sz w:val="18"/>
          <w:szCs w:val="18"/>
          <w:color w:val="auto"/>
        </w:rPr>
        <w:t>We pay our wholesalers a distribution fee for services they perform for us based on the dollar value of their purchases of DEXTENZA. We record a provision for these charges as a reduction to revenue at the time of sale to the wholesaler and we issue a credit memo to the wholesaler against its outstanding receivable to us.</w:t>
      </w:r>
    </w:p>
    <w:p>
      <w:pPr>
        <w:spacing w:after="0" w:line="197" w:lineRule="exact"/>
        <w:rPr>
          <w:sz w:val="20"/>
          <w:szCs w:val="20"/>
          <w:color w:val="auto"/>
        </w:rPr>
      </w:pPr>
    </w:p>
    <w:p>
      <w:pPr>
        <w:ind w:left="60" w:right="199" w:firstLine="298"/>
        <w:spacing w:after="0" w:line="277" w:lineRule="auto"/>
        <w:rPr>
          <w:sz w:val="20"/>
          <w:szCs w:val="20"/>
          <w:color w:val="auto"/>
        </w:rPr>
      </w:pPr>
      <w:r>
        <w:rPr>
          <w:rFonts w:ascii="Arial" w:cs="Arial" w:eastAsia="Arial" w:hAnsi="Arial"/>
          <w:sz w:val="18"/>
          <w:szCs w:val="18"/>
          <w:color w:val="auto"/>
        </w:rPr>
        <w:t>We record a provision for returns upon sale of DEXTENZA to our wholesaler. When a return or claim is received, we issue a credit memo to the wholesaler and reduce the corresponding liability.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Revenue</w:t>
      </w:r>
    </w:p>
    <w:p>
      <w:pPr>
        <w:spacing w:after="0" w:line="225" w:lineRule="exact"/>
        <w:rPr>
          <w:sz w:val="20"/>
          <w:szCs w:val="20"/>
          <w:color w:val="auto"/>
        </w:rPr>
      </w:pPr>
    </w:p>
    <w:p>
      <w:pPr>
        <w:ind w:left="60" w:right="479" w:firstLine="441"/>
        <w:spacing w:after="0" w:line="342" w:lineRule="auto"/>
        <w:rPr>
          <w:sz w:val="20"/>
          <w:szCs w:val="20"/>
          <w:color w:val="auto"/>
        </w:rPr>
      </w:pPr>
      <w:r>
        <w:rPr>
          <w:rFonts w:ascii="Arial" w:cs="Arial" w:eastAsia="Arial" w:hAnsi="Arial"/>
          <w:sz w:val="16"/>
          <w:szCs w:val="16"/>
          <w:color w:val="auto"/>
        </w:rPr>
        <w:t>We generated $17.4 million of revenue during the year ended December 31, 2020 from sales of our products, of which $15.7 million was attributable to sales of DEXTENZA and $1.7 million was attributable to sales of ReSure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Sealant. We generated $4.2 million of product revenue during the year ended December 31, 2019, of which $2.2 million was attributable to DEXTENZA and $2.0 million was attributable to sales of ReSure Sealant during the year ended December 31, 2019. We began to recognize product revenue from DEXTENZA during the second quarter of 2019 with the first commercial shipments to customers in June 2019. The growth in revenue for DEXTENZA was due to increased market acceptance and commercialization efforts during 2020.</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6"/>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3"/>
              </w:rPr>
              <w:t>(in thousands)</w:t>
            </w:r>
          </w:p>
        </w:tc>
        <w:tc>
          <w:tcPr>
            <w:tcW w:w="180" w:type="dxa"/>
            <w:vAlign w:val="bottom"/>
            <w:gridSpan w:val="2"/>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OTX-TKI for wet AMD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1,534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OTX-TIC for glaucoma or ocular hypertension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OTX-CSI for treatment of dry eye disease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OTX-DED for the short-term treatment of the signs and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symptoms of dry eye disease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w w:val="95"/>
              </w:rPr>
              <w:t>DEXTENZA for post-surgical ocular inflammation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pain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DEXTENZA for ocular itching associated with allergic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conjunctivitis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ReSure Sealant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OTX-TP for glaucoma and ocular hypertension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Preclinical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Unallocated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11,458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20,068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 other costs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74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28,694</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$ 41,091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441"/>
        <w:spacing w:after="0" w:line="287" w:lineRule="auto"/>
        <w:rPr>
          <w:sz w:val="20"/>
          <w:szCs w:val="20"/>
          <w:color w:val="auto"/>
        </w:rPr>
      </w:pPr>
      <w:r>
        <w:rPr>
          <w:rFonts w:ascii="Arial" w:cs="Arial" w:eastAsia="Arial" w:hAnsi="Arial"/>
          <w:sz w:val="16"/>
          <w:szCs w:val="16"/>
          <w:color w:val="auto"/>
        </w:rPr>
        <w:t>Research and development expenses were $28.7 million for the year ended December 31, 2020, compared to $41.1 million for the year ended December 31, 2019. The decrease of $12.4 million was primarily due to a decrease of $12.6 million in unallocated expenses. Unallocated research and development costs decreased $12.6 million for the year ended December 31, 2020, compared to the year ended December 31, 2019 primarily due to a decrease in unallocated personnel costs of $8.6 million and $4.0 million in all other costs as a result of the organizational restructuring that took place in November 2019 which reduced personnel and deferred program costs. For the year ended December 31, 2020, we incurred $8.0 million in direct research and development expenses for our product candidates compared to $6.5 million for the year ended December 31, 2019. The increase of $1.5 million is related to timing and start of our various clinical trials for our product candidates. We expect that clinical trial expenses will increase for our product candidates including for OTX-TKI due to the planned initiation of Phase 1 and Phase 2 clinical trials in mid-2021, for OTX-TIC due to the planned initiation of a Phase 2 clinical trial in mid-2021, for OTX-CSI due to the continuation of our Phase 2 clinical trial initiated in 2020, and for OTX-DED due to the initiation of our Phase 2 clinical trial in February 2021.</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Selling and Marketing Expenses</w:t>
      </w:r>
    </w:p>
    <w:p>
      <w:pPr>
        <w:spacing w:after="0" w:line="21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6"/>
              </w:rPr>
              <w:t>Personnel related (including stock-based compensation)</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$ 12,382</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5,996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(3,091)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Facility related and 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Total selling and marketing expenses</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26,614</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$ 24,491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79" w:firstLine="441"/>
        <w:spacing w:after="0" w:line="311" w:lineRule="auto"/>
        <w:rPr>
          <w:sz w:val="20"/>
          <w:szCs w:val="20"/>
          <w:color w:val="auto"/>
        </w:rPr>
      </w:pPr>
      <w:r>
        <w:rPr>
          <w:rFonts w:ascii="Arial" w:cs="Arial" w:eastAsia="Arial" w:hAnsi="Arial"/>
          <w:sz w:val="16"/>
          <w:szCs w:val="16"/>
          <w:color w:val="auto"/>
        </w:rPr>
        <w:t>Selling and marketing expenses were $26.6 million for the year ended December 31, 2020, compared to $24.5 million for the year ended December 31, 2019. The increase of $2.1 million was primarily due to an increase of $4.9 million in personnel costs, including stock-based compensation as the Company increased the field-based team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support the commercial launch of DEXTENZA, partially offset by a decrease of $3.1 million in professional fees including consulting, trade shows, and conferences.</w:t>
      </w:r>
    </w:p>
    <w:p>
      <w:pPr>
        <w:spacing w:after="0" w:line="170" w:lineRule="exact"/>
        <w:rPr>
          <w:sz w:val="20"/>
          <w:szCs w:val="20"/>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We expect our selling and marketing expenses to increase in 2021 and beyond, as we continue to support the commercial launch of DEXTENZA and, if our sNDA is approved, support the planned commercial launch of DEXTENZA for ocular itching associated with allergic conjunctivitis in the first half of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7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6"/>
              </w:rPr>
              <w:t>Personnel related (including stock-based compensation)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$ 11,688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$ 11,352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Professional fees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8,886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Facility related and other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Total general and administrative expenses</w:t>
            </w:r>
          </w:p>
        </w:tc>
        <w:tc>
          <w:tcPr>
            <w:tcW w:w="3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$ 22,859</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$ 22,122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239" w:firstLine="441"/>
        <w:spacing w:after="0" w:line="263" w:lineRule="auto"/>
        <w:rPr>
          <w:sz w:val="20"/>
          <w:szCs w:val="20"/>
          <w:color w:val="auto"/>
        </w:rPr>
      </w:pPr>
      <w:r>
        <w:rPr>
          <w:rFonts w:ascii="Arial" w:cs="Arial" w:eastAsia="Arial" w:hAnsi="Arial"/>
          <w:sz w:val="18"/>
          <w:szCs w:val="18"/>
          <w:color w:val="auto"/>
        </w:rPr>
        <w:t>General and administrative expenses were $22.9 million for the year ended December 31, 2020, compared to $22.1 million for the year ended December 31, 2019. The increase of $0.7 million was primarily due to an increase of $0.6 million in professional fees.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left="60" w:right="119" w:firstLine="441"/>
        <w:spacing w:after="0" w:line="254" w:lineRule="auto"/>
        <w:rPr>
          <w:sz w:val="20"/>
          <w:szCs w:val="20"/>
          <w:color w:val="auto"/>
        </w:rPr>
      </w:pPr>
      <w:r>
        <w:rPr>
          <w:rFonts w:ascii="Arial" w:cs="Arial" w:eastAsia="Arial" w:hAnsi="Arial"/>
          <w:sz w:val="18"/>
          <w:szCs w:val="18"/>
          <w:color w:val="auto"/>
        </w:rPr>
        <w:t>Other expense, net was $92.8 million for the year ended December 31, 2020, compared to $0.6 million for the year ended December 31, 2019. The change of $92.2 million, was due to an unrealized loss of $86.2 million on the change in fair value of the derivative liability associated with the 2026 Convertible Notes and lower interest income of $1.1 million. The change in fair value of the derivative liability was a loss in the amount of $86.2 million in 2020 as compared to a gain of $4.3 million during the year ended December 31, 2019 due changes in the underlying assumptions of the derivative liability, primarily related to an increase in our common stock price between December 31, 2020 and 2019. We expect the change in fair value of the derivative liability will continue to fluctuate until it is settled based on the extent changes occur in the underlying assumptions.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Since inception, we have incurred significant operating losses. Our net losses were $155.6 million and $86.4 million, for the years ended December 31, 2020 and 2019, respectively. As of December 31, 2020, we had an accumulated deficit of $539.3 million.</w:t>
      </w:r>
    </w:p>
    <w:p>
      <w:pPr>
        <w:spacing w:after="0" w:line="184" w:lineRule="exact"/>
        <w:rPr>
          <w:sz w:val="20"/>
          <w:szCs w:val="20"/>
          <w:color w:val="auto"/>
        </w:rPr>
      </w:pPr>
    </w:p>
    <w:p>
      <w:pPr>
        <w:ind w:left="60" w:right="59" w:firstLine="441"/>
        <w:spacing w:after="0" w:line="288" w:lineRule="auto"/>
        <w:rPr>
          <w:sz w:val="20"/>
          <w:szCs w:val="20"/>
          <w:color w:val="auto"/>
        </w:rPr>
      </w:pPr>
      <w:r>
        <w:rPr>
          <w:rFonts w:ascii="Arial" w:cs="Arial" w:eastAsia="Arial" w:hAnsi="Arial"/>
          <w:sz w:val="16"/>
          <w:szCs w:val="16"/>
          <w:color w:val="auto"/>
        </w:rPr>
        <w:t>We have generated limited revenue to date. In 2014, we began recognizing revenue from sales of ReSure Sealant. We commercially launched DEXTENZA for post-surgical ocular inflammation and pain in July 2019. All of our other sustained drug delivery products are in various phases of clinical and preclinical development. Our ability to generate product revenues sufficient to achieve profitability will depend heavily on our continued commercialization of DEXTENZA for the treatment of ocular inflammation and pain following ophthalmic surgery and our obtaining marketing approval for and commercializing other products with significant market potential, including DEXTENZA for the treatment of ocular itching associated with allergic conjunctivitis, OTX-TKI for wet AMD, OTX-TIC for glaucoma or ocular hypertension, and OTX-CSI and OTX-DED for dry eye disease. While it is difficult to predict the extent or duration of the impact of the global COVID-19 pandemic on future financial results, we anticipate current guidelines and recommendations from the global health authorities, including the delay of elective surgeries, will impact revenue in 2021.</w:t>
      </w:r>
    </w:p>
    <w:p>
      <w:pPr>
        <w:spacing w:after="0" w:line="168" w:lineRule="exact"/>
        <w:rPr>
          <w:sz w:val="20"/>
          <w:szCs w:val="20"/>
          <w:color w:val="auto"/>
        </w:rPr>
      </w:pPr>
    </w:p>
    <w:p>
      <w:pPr>
        <w:ind w:left="60" w:right="119" w:firstLine="441"/>
        <w:spacing w:after="0" w:line="255" w:lineRule="auto"/>
        <w:rPr>
          <w:sz w:val="20"/>
          <w:szCs w:val="20"/>
          <w:color w:val="auto"/>
        </w:rPr>
      </w:pPr>
      <w:r>
        <w:rPr>
          <w:rFonts w:ascii="Arial" w:cs="Arial" w:eastAsia="Arial" w:hAnsi="Arial"/>
          <w:sz w:val="18"/>
          <w:szCs w:val="18"/>
          <w:color w:val="auto"/>
        </w:rPr>
        <w:t>Through December 31, 2020, we have financed our operations primarily through private placements of our preferred stock, public offerings of our common stock, private placements of our convertible notes and borrowings under credit facilities, which has resulted in net proceeds of $637.2 million to us. As described above, we issued and sold an aggregate of 21,949,841 shares of our common stock in the May 2020 Offering, the October 2020 Offering, and the December 2020 Offering. We received net proceeds from these offerings of approximately $210.0 million, after deducting underwriting discounts and commissions and offering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441"/>
        <w:spacing w:after="0" w:line="259" w:lineRule="auto"/>
        <w:rPr>
          <w:sz w:val="20"/>
          <w:szCs w:val="20"/>
          <w:color w:val="auto"/>
        </w:rPr>
      </w:pPr>
      <w:r>
        <w:rPr>
          <w:rFonts w:ascii="Arial" w:cs="Arial" w:eastAsia="Arial" w:hAnsi="Arial"/>
          <w:sz w:val="18"/>
          <w:szCs w:val="18"/>
          <w:color w:val="auto"/>
        </w:rPr>
        <w:t>In April 2019, we entered into the 2019 Sales Agreement with Jefferies, acting as agent, for the issuance of up to $50.0 million of our common stock. Through March 1, 2021, we have sold 10,321,840 shares of common stock under the 2019 Sales Agreement, resulting in net proceeds of approximately $47.0 million after commissions and expenses. We have $1.3 million available for issuance as of March 1, 2021.</w:t>
      </w:r>
    </w:p>
    <w:p>
      <w:pPr>
        <w:spacing w:after="0" w:line="187" w:lineRule="exact"/>
        <w:rPr>
          <w:sz w:val="20"/>
          <w:szCs w:val="20"/>
          <w:color w:val="auto"/>
        </w:rPr>
      </w:pPr>
    </w:p>
    <w:p>
      <w:pPr>
        <w:ind w:left="60" w:right="139" w:firstLine="441"/>
        <w:spacing w:after="0" w:line="270" w:lineRule="auto"/>
        <w:rPr>
          <w:sz w:val="20"/>
          <w:szCs w:val="20"/>
          <w:color w:val="auto"/>
        </w:rPr>
      </w:pPr>
      <w:r>
        <w:rPr>
          <w:rFonts w:ascii="Arial" w:cs="Arial" w:eastAsia="Arial" w:hAnsi="Arial"/>
          <w:sz w:val="17"/>
          <w:szCs w:val="17"/>
          <w:color w:val="auto"/>
        </w:rPr>
        <w:t>On March 2019, we issued $37.5 million of the 2026 Convertible Notes. The 2026 Convertible Notes accrue interest at an annual rate of 6% of its outstanding principal amount, payable in cash at maturity on March 1, 2026, unless earlier converted, repurchased or redeemed. The holders of the 2026 Convertible Notes may convert all or part of the outstanding principal amount of their 2026 Convertible Notes into shares of our common stock, par value $0.0001 per share, prior to maturity and provided that no conversion results in a holder beneficially owning more than 19.99% of our issued and outstanding common stock. The conversion rate is initially 153.8462 shares of our common stock per $1,000 principal amount of the 2026 Convertible Notes, which is equivalent to an initial conversion price is $6.50 per share. The conversion rate is subject to adjustment in customary circumstances such as stock splits or similar changes to our capitalization, none of which have occurred to date.</w:t>
      </w:r>
    </w:p>
    <w:p>
      <w:pPr>
        <w:spacing w:after="0" w:line="181" w:lineRule="exact"/>
        <w:rPr>
          <w:sz w:val="20"/>
          <w:szCs w:val="20"/>
          <w:color w:val="auto"/>
        </w:rPr>
      </w:pPr>
    </w:p>
    <w:p>
      <w:pPr>
        <w:ind w:left="60" w:right="79" w:firstLine="441"/>
        <w:spacing w:after="0" w:line="286" w:lineRule="auto"/>
        <w:rPr>
          <w:sz w:val="20"/>
          <w:szCs w:val="20"/>
          <w:color w:val="auto"/>
        </w:rPr>
      </w:pPr>
      <w:r>
        <w:rPr>
          <w:rFonts w:ascii="Arial" w:cs="Arial" w:eastAsia="Arial" w:hAnsi="Arial"/>
          <w:sz w:val="16"/>
          <w:szCs w:val="16"/>
          <w:color w:val="auto"/>
        </w:rPr>
        <w:t>In April 2014, we borrowed $15.0 million in aggregate principal amount under our Credit Facility and used $1.9 million of this amount to repay $1.7 million aggregate principal amount of indebtedness and pay $0.2 million of other amounts due in connection with our termination of a prior credit facility. In December 2015, we amended the Credit Agreement to increase the aggregate principal amount borrowed under our Credit Facility to $15.6 million, extend the interest-only payment period through December 2016, and extend the maturity date to December 1, 2019. In March 2017, we amended the Credit Agreement to increase the aggregate principal amount borrowed under our Credit Facility to $18.0 million and extend the interest only period through February 1, 2018 and extend the maturity date to February 1, 2020. In December 2018, we amended the Credit Agreement to increase the aggregate principal amount borrowed under our Credit Facility to $25.0 million, extend the interest-only payment period through December 2020 and extend the to maturity to date to December 2023. Amounts borrowed under the Credit Agreement are at a LIBOR base rate, subject to a 2.00% floor, plus 7.25%. As of December 31, 2020, the interest rate was 9.25%. In addition, a final payment (exit fee) equal to 3.5% of amounts drawn under the Credit Facility is due upon maturity. If we elect to prepay amounts borrowed under the Credit Agreement, we would also owe a prepayment fee of 2.00% of amounts prepaid until December 2021 or 1.00% of amounts prepaid thereafter. See “—Contractual Obligations and Commitments” for additional information.</w:t>
      </w:r>
    </w:p>
    <w:p>
      <w:pPr>
        <w:spacing w:after="0" w:line="171" w:lineRule="exact"/>
        <w:rPr>
          <w:sz w:val="20"/>
          <w:szCs w:val="20"/>
          <w:color w:val="auto"/>
        </w:rPr>
      </w:pPr>
    </w:p>
    <w:p>
      <w:pPr>
        <w:ind w:left="60" w:right="239" w:firstLine="441"/>
        <w:spacing w:after="0" w:line="342" w:lineRule="auto"/>
        <w:rPr>
          <w:sz w:val="20"/>
          <w:szCs w:val="20"/>
          <w:color w:val="auto"/>
        </w:rPr>
      </w:pPr>
      <w:r>
        <w:rPr>
          <w:rFonts w:ascii="Arial" w:cs="Arial" w:eastAsia="Arial" w:hAnsi="Arial"/>
          <w:sz w:val="16"/>
          <w:szCs w:val="16"/>
          <w:color w:val="auto"/>
        </w:rPr>
        <w:t>As of December 31, 2020, we had cash and cash equivalents of $228.1 million, notes payable of $25.0 million face value and senior subordinated convertible notes of $37.5 million par value, plus accrued interest of $4.2 million.</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0" w:right="219" w:firstLine="441"/>
        <w:spacing w:after="0" w:line="296" w:lineRule="auto"/>
        <w:rPr>
          <w:sz w:val="20"/>
          <w:szCs w:val="20"/>
          <w:color w:val="auto"/>
        </w:rPr>
      </w:pPr>
      <w:r>
        <w:rPr>
          <w:rFonts w:ascii="Arial" w:cs="Arial" w:eastAsia="Arial" w:hAnsi="Arial"/>
          <w:sz w:val="16"/>
          <w:szCs w:val="16"/>
          <w:color w:val="auto"/>
        </w:rPr>
        <w:t>Based on our current plans and forecasted expenses, which includes estimates related to anticipated cash inflows from DEXTENZA and ReSure Sealant product sales and cash outflows from operating expenses, we believe that our existing cash and cash equivalents, as of December 31, 2020, will enable us to fund our planned operating expenses, debt service obligations and capital expenditure requirements through 2023. We have based this estimate on assumptions that may prove to be wrong, and we could use our capital resources sooner than we currently expect.</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4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5"/>
          </w:tcPr>
          <w:p>
            <w:pPr>
              <w:jc w:val="right"/>
              <w:ind w:right="334"/>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(53,554)</w:t>
            </w:r>
          </w:p>
        </w:tc>
        <w:tc>
          <w:tcPr>
            <w:tcW w:w="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(77,578)</w:t>
            </w:r>
          </w:p>
        </w:tc>
      </w:tr>
      <w:tr>
        <w:trPr>
          <w:trHeight w:val="229"/>
        </w:trPr>
        <w:tc>
          <w:tcPr>
            <w:tcW w:w="442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(2,238)</w:t>
            </w: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0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228,014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75,341</w:t>
            </w:r>
          </w:p>
        </w:tc>
      </w:tr>
      <w:tr>
        <w:trPr>
          <w:trHeight w:val="209"/>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Net increase in cash and cash equivalents</w:t>
            </w:r>
          </w:p>
        </w:tc>
        <w:tc>
          <w:tcPr>
            <w:tcW w:w="10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173,620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441"/>
        <w:spacing w:after="0" w:line="301"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used in operating activities was $53.6 million for the year ended December 31, 2020,</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resulting from our net loss of $155.6 million, partially offset by non-cash charges of $100.9 million and cash provided by changes in our operating assets and liabilities of $1.1 million. Our net loss was primarily attributed to research and development activities, selling and marketing costs and our general and administrative expenses partially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offset by $17.4 million of revenue in the period. Our net non-cash charges during the year ended December 31, 2020 primarily consisted of the change in fair value of the derivative liability of $86.2 million, $7.5 million of stock-based compensation expense, $4.4 million of non-cash interest expense and $2.8 million of depreciation expense. Net cash provided by changes in our operating assets and liabilities during the year ended December 31, 2020 consisted primarily of a $12.0 million in deferred revenue partially offset by the change in the working capital accounts and a $9.7 million increase in accounts receivable.</w:t>
      </w:r>
    </w:p>
    <w:p>
      <w:pPr>
        <w:spacing w:after="0" w:line="192" w:lineRule="exact"/>
        <w:rPr>
          <w:sz w:val="20"/>
          <w:szCs w:val="20"/>
          <w:color w:val="auto"/>
        </w:rPr>
      </w:pPr>
    </w:p>
    <w:p>
      <w:pPr>
        <w:ind w:left="60" w:right="119" w:firstLine="441"/>
        <w:spacing w:after="0" w:line="270" w:lineRule="auto"/>
        <w:rPr>
          <w:sz w:val="20"/>
          <w:szCs w:val="20"/>
          <w:color w:val="auto"/>
        </w:rPr>
      </w:pPr>
      <w:r>
        <w:rPr>
          <w:rFonts w:ascii="Arial" w:cs="Arial" w:eastAsia="Arial" w:hAnsi="Arial"/>
          <w:sz w:val="17"/>
          <w:szCs w:val="17"/>
          <w:color w:val="auto"/>
        </w:rPr>
        <w:t>Net cash used in operating activities was $77.6 million for the year ended December 31, 2019, primarily resulting from our net loss of $86.4 million, partially offset by non-cash charges of $10.7 million and cash provided by changes in our operating assets and liabilities of $1.9 million. Our net loss was primarily attributed to research and development activities, selling and marketing costs and our general and administrative expenses partially offset by $4.2 million of revenue in the period. Our net non-cash charges during the year ended December 31, 2019 primarily consisted of $8.8 million of stock-based compensation expense, $2.5 million of depreciation expense and non-cash interest expense partially offset by the change in fair value of the derivative liability of $4.3 million. Net cash provided by changes in our operating assets and liabilities during the year ended December 31, 2019 consisted primarily of a $1.7 million increase in accrued expenses and deferred rent and a $2.3 million increase in accounts receivable.</w:t>
      </w:r>
    </w:p>
    <w:p>
      <w:pPr>
        <w:spacing w:after="0" w:line="181" w:lineRule="exact"/>
        <w:rPr>
          <w:sz w:val="20"/>
          <w:szCs w:val="20"/>
          <w:color w:val="auto"/>
        </w:rPr>
      </w:pPr>
    </w:p>
    <w:p>
      <w:pPr>
        <w:ind w:left="60" w:right="179" w:firstLine="441"/>
        <w:spacing w:after="0" w:line="286"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Net cash used in investing activities was $0.8 million for the year ended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cash used to purchase property and equipment. Net cash used in investing activities was $2.2 million for the year ended December 31, 2019, consisting of cash used to purchase property and equipment.</w:t>
      </w:r>
    </w:p>
    <w:p>
      <w:pPr>
        <w:spacing w:after="0" w:line="165" w:lineRule="exact"/>
        <w:rPr>
          <w:sz w:val="20"/>
          <w:szCs w:val="20"/>
          <w:color w:val="auto"/>
        </w:rPr>
      </w:pPr>
    </w:p>
    <w:p>
      <w:pPr>
        <w:ind w:left="60" w:right="139" w:firstLine="441"/>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for 2020 was $228.0 million and consisted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of proceeds from the May 2020 Offering, the October 2020 Offering and the December 2020 Offering of an aggregate of $210.0 million, net of underwriting discounts and commissions and offering expenses; proceeds from sales under the 2019 Sales Agreement of $14.4 million, net of commissions and other offering expenses; proceeds from the exercise of stock options of $2.6 million; and proceeds from issuance of common stock pursuant to our employee stock purchase plan of $0.8 million.</w:t>
      </w:r>
    </w:p>
    <w:p>
      <w:pPr>
        <w:spacing w:after="0" w:line="192" w:lineRule="exact"/>
        <w:rPr>
          <w:sz w:val="20"/>
          <w:szCs w:val="20"/>
          <w:color w:val="auto"/>
        </w:rPr>
      </w:pPr>
    </w:p>
    <w:p>
      <w:pPr>
        <w:ind w:left="60" w:right="299" w:firstLine="441"/>
        <w:spacing w:after="0" w:line="311" w:lineRule="auto"/>
        <w:rPr>
          <w:sz w:val="20"/>
          <w:szCs w:val="20"/>
          <w:color w:val="auto"/>
        </w:rPr>
      </w:pPr>
      <w:r>
        <w:rPr>
          <w:rFonts w:ascii="Arial" w:cs="Arial" w:eastAsia="Arial" w:hAnsi="Arial"/>
          <w:sz w:val="16"/>
          <w:szCs w:val="16"/>
          <w:color w:val="auto"/>
        </w:rPr>
        <w:t>Net cash provided by financing activities for 2019 was $75.3 million and consisted primarily of proceeds from the 2026 Convertible Notes of $37.3 million and the 2016 Sales Agreement of $4.9 million, net of commissions and other offering expenses and the 2019 Sales Agreement of $32.6 million, net of commissions and other offering expenses.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left="60" w:right="279" w:firstLine="441"/>
        <w:spacing w:after="0" w:line="286" w:lineRule="auto"/>
        <w:rPr>
          <w:sz w:val="20"/>
          <w:szCs w:val="20"/>
          <w:color w:val="auto"/>
        </w:rPr>
      </w:pPr>
      <w:r>
        <w:rPr>
          <w:rFonts w:ascii="Arial" w:cs="Arial" w:eastAsia="Arial" w:hAnsi="Arial"/>
          <w:sz w:val="17"/>
          <w:szCs w:val="17"/>
          <w:color w:val="auto"/>
        </w:rPr>
        <w:t>We expect to continue to incur losses in connection with our ongoing activities, particularly as we advance the clinical trials of our products in development and increase our sales and marketing resources to support the DEXTENZA launch and the potential launch of our product candidates, subject to receiving FDA approval.</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anticipate we will incur substantial expenses if and as we:</w:t>
      </w:r>
    </w:p>
    <w:p>
      <w:pPr>
        <w:spacing w:after="0" w:line="225" w:lineRule="exact"/>
        <w:rPr>
          <w:sz w:val="20"/>
          <w:szCs w:val="20"/>
          <w:color w:val="auto"/>
        </w:rPr>
      </w:pPr>
    </w:p>
    <w:p>
      <w:pPr>
        <w:ind w:left="1480" w:hanging="323"/>
        <w:spacing w:after="0"/>
        <w:tabs>
          <w:tab w:leader="none" w:pos="1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continue to commercialize DEXTENZA in the United States;</w:t>
      </w:r>
    </w:p>
    <w:p>
      <w:pPr>
        <w:spacing w:after="0" w:line="252" w:lineRule="exact"/>
        <w:rPr>
          <w:rFonts w:ascii="Arial" w:cs="Arial" w:eastAsia="Arial" w:hAnsi="Arial"/>
          <w:sz w:val="18"/>
          <w:szCs w:val="18"/>
          <w:color w:val="auto"/>
        </w:rPr>
      </w:pPr>
    </w:p>
    <w:p>
      <w:pPr>
        <w:ind w:left="1480" w:right="139" w:hanging="323"/>
        <w:spacing w:after="0" w:line="277" w:lineRule="auto"/>
        <w:tabs>
          <w:tab w:leader="none" w:pos="1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continue to develop and expand our sales, marketing and distribution capabilities for DEXTENZA and any of our products or product candidates;</w:t>
      </w:r>
    </w:p>
    <w:p>
      <w:pPr>
        <w:spacing w:after="0" w:line="197" w:lineRule="exact"/>
        <w:rPr>
          <w:rFonts w:ascii="Arial" w:cs="Arial" w:eastAsia="Arial" w:hAnsi="Arial"/>
          <w:sz w:val="18"/>
          <w:szCs w:val="18"/>
          <w:color w:val="auto"/>
        </w:rPr>
      </w:pPr>
    </w:p>
    <w:p>
      <w:pPr>
        <w:ind w:left="1480" w:hanging="323"/>
        <w:spacing w:after="0"/>
        <w:tabs>
          <w:tab w:leader="none" w:pos="1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continue to pursue the clinical development of DEXTENZA for additional indications;</w:t>
      </w:r>
    </w:p>
    <w:p>
      <w:pPr>
        <w:spacing w:after="0" w:line="252" w:lineRule="exact"/>
        <w:rPr>
          <w:rFonts w:ascii="Arial" w:cs="Arial" w:eastAsia="Arial" w:hAnsi="Arial"/>
          <w:sz w:val="18"/>
          <w:szCs w:val="18"/>
          <w:color w:val="auto"/>
        </w:rPr>
      </w:pPr>
    </w:p>
    <w:p>
      <w:pPr>
        <w:ind w:left="1480" w:right="259" w:hanging="323"/>
        <w:spacing w:after="0" w:line="277" w:lineRule="auto"/>
        <w:tabs>
          <w:tab w:leader="none" w:pos="1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continue ongoing clinical trials of our product candidates OTX-TKI, OTX-TIC, OTX-CSI and OTX-DED;</w:t>
      </w:r>
    </w:p>
    <w:p>
      <w:pPr>
        <w:spacing w:after="0" w:line="197" w:lineRule="exact"/>
        <w:rPr>
          <w:rFonts w:ascii="Arial" w:cs="Arial" w:eastAsia="Arial" w:hAnsi="Arial"/>
          <w:sz w:val="18"/>
          <w:szCs w:val="18"/>
          <w:color w:val="auto"/>
        </w:rPr>
      </w:pPr>
    </w:p>
    <w:p>
      <w:pPr>
        <w:ind w:left="1480" w:hanging="323"/>
        <w:spacing w:after="0"/>
        <w:tabs>
          <w:tab w:leader="none" w:pos="1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initiate planned Phase 2 clinical trials for our product candidates OTX-TKI and OTX-TIC;</w:t>
      </w:r>
    </w:p>
    <w:p>
      <w:pPr>
        <w:spacing w:after="0" w:line="252" w:lineRule="exact"/>
        <w:rPr>
          <w:rFonts w:ascii="Arial" w:cs="Arial" w:eastAsia="Arial" w:hAnsi="Arial"/>
          <w:sz w:val="18"/>
          <w:szCs w:val="18"/>
          <w:color w:val="auto"/>
        </w:rPr>
      </w:pPr>
    </w:p>
    <w:p>
      <w:pPr>
        <w:ind w:left="1480" w:right="259" w:hanging="323"/>
        <w:spacing w:after="0" w:line="259" w:lineRule="auto"/>
        <w:tabs>
          <w:tab w:leader="none" w:pos="1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conduct joint research and development under our strategic collaboration with Regeneron, for the development and potential commercialization of products containing our extended-delivery hydrogel formulation in combination with Regeneron’s large molecule, VEGF-targeting compounds to treat retinal diseases;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80" w:right="99" w:hanging="323"/>
        <w:spacing w:after="0" w:line="263"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conduct research and development activities on, and seek regulatory approvals for, DEXTENZA and OTX-TIC in certain Asian countries pursuant to our license agreement and collaboration with AffaMed Therapeutics Limited, or AffaMed;</w:t>
      </w:r>
    </w:p>
    <w:p>
      <w:pPr>
        <w:spacing w:after="0" w:line="210" w:lineRule="exact"/>
        <w:rPr>
          <w:rFonts w:ascii="Arial" w:cs="Arial" w:eastAsia="Arial" w:hAnsi="Arial"/>
          <w:sz w:val="18"/>
          <w:szCs w:val="18"/>
          <w:color w:val="auto"/>
        </w:rPr>
      </w:pPr>
    </w:p>
    <w:p>
      <w:pPr>
        <w:ind w:left="1480" w:hanging="323"/>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52" w:lineRule="exact"/>
        <w:rPr>
          <w:rFonts w:ascii="Arial" w:cs="Arial" w:eastAsia="Arial" w:hAnsi="Arial"/>
          <w:sz w:val="18"/>
          <w:szCs w:val="18"/>
          <w:color w:val="auto"/>
        </w:rPr>
      </w:pPr>
    </w:p>
    <w:p>
      <w:pPr>
        <w:ind w:left="1480" w:right="99" w:hanging="323"/>
        <w:spacing w:after="0" w:line="263"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seek to identify and develop additional product candidates, including through additional preclinical development activities associated with our front-of-the-eye and back-of-the-eye programs and potential opportunities outside the field of ophthalmology;</w:t>
      </w:r>
    </w:p>
    <w:p>
      <w:pPr>
        <w:spacing w:after="0" w:line="210" w:lineRule="exact"/>
        <w:rPr>
          <w:rFonts w:ascii="Arial" w:cs="Arial" w:eastAsia="Arial" w:hAnsi="Arial"/>
          <w:sz w:val="18"/>
          <w:szCs w:val="18"/>
          <w:color w:val="auto"/>
        </w:rPr>
      </w:pPr>
    </w:p>
    <w:p>
      <w:pPr>
        <w:ind w:left="1480" w:right="739" w:hanging="323"/>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development;</w:t>
      </w:r>
    </w:p>
    <w:p>
      <w:pPr>
        <w:spacing w:after="0" w:line="197" w:lineRule="exact"/>
        <w:rPr>
          <w:rFonts w:ascii="Arial" w:cs="Arial" w:eastAsia="Arial" w:hAnsi="Arial"/>
          <w:sz w:val="18"/>
          <w:szCs w:val="18"/>
          <w:color w:val="auto"/>
        </w:rPr>
      </w:pPr>
    </w:p>
    <w:p>
      <w:pPr>
        <w:ind w:left="1480" w:right="419" w:hanging="323"/>
        <w:spacing w:after="0" w:line="259"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scale up our manufacturing processes and capabilities to support sales of commercial products, our ongoing clinical trials of our product candidates and commercialization of any of our product candidates for which we obtain marketing approval, and expand our facilities to accommodate this scale up and any corresponding growth in personnel;</w:t>
      </w:r>
    </w:p>
    <w:p>
      <w:pPr>
        <w:spacing w:after="0" w:line="213" w:lineRule="exact"/>
        <w:rPr>
          <w:rFonts w:ascii="Arial" w:cs="Arial" w:eastAsia="Arial" w:hAnsi="Arial"/>
          <w:sz w:val="18"/>
          <w:szCs w:val="18"/>
          <w:color w:val="auto"/>
        </w:rPr>
      </w:pPr>
    </w:p>
    <w:p>
      <w:pPr>
        <w:ind w:left="1480" w:right="219" w:hanging="323"/>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renovate our existing facilities including research and development laboratories, manufacturing space and office space;</w:t>
      </w:r>
    </w:p>
    <w:p>
      <w:pPr>
        <w:spacing w:after="0" w:line="197" w:lineRule="exact"/>
        <w:rPr>
          <w:rFonts w:ascii="Arial" w:cs="Arial" w:eastAsia="Arial" w:hAnsi="Arial"/>
          <w:sz w:val="18"/>
          <w:szCs w:val="18"/>
          <w:color w:val="auto"/>
        </w:rPr>
      </w:pPr>
    </w:p>
    <w:p>
      <w:pPr>
        <w:ind w:left="1480" w:hanging="323"/>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52" w:lineRule="exact"/>
        <w:rPr>
          <w:rFonts w:ascii="Arial" w:cs="Arial" w:eastAsia="Arial" w:hAnsi="Arial"/>
          <w:sz w:val="18"/>
          <w:szCs w:val="18"/>
          <w:color w:val="auto"/>
        </w:rPr>
      </w:pPr>
    </w:p>
    <w:p>
      <w:pPr>
        <w:ind w:left="1480" w:right="119" w:hanging="323"/>
        <w:spacing w:after="0" w:line="263"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personnel, including personnel to support our clinical development, manufacturing and commercialization efforts and our operations as a public company;</w:t>
      </w:r>
    </w:p>
    <w:p>
      <w:pPr>
        <w:spacing w:after="0" w:line="210" w:lineRule="exact"/>
        <w:rPr>
          <w:rFonts w:ascii="Arial" w:cs="Arial" w:eastAsia="Arial" w:hAnsi="Arial"/>
          <w:sz w:val="18"/>
          <w:szCs w:val="18"/>
          <w:color w:val="auto"/>
        </w:rPr>
      </w:pPr>
    </w:p>
    <w:p>
      <w:pPr>
        <w:ind w:left="1480" w:hanging="323"/>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defend ourselves against legal proceedings;</w:t>
      </w:r>
    </w:p>
    <w:p>
      <w:pPr>
        <w:spacing w:after="0" w:line="252" w:lineRule="exact"/>
        <w:rPr>
          <w:rFonts w:ascii="Arial" w:cs="Arial" w:eastAsia="Arial" w:hAnsi="Arial"/>
          <w:sz w:val="18"/>
          <w:szCs w:val="18"/>
          <w:color w:val="auto"/>
        </w:rPr>
      </w:pPr>
    </w:p>
    <w:p>
      <w:pPr>
        <w:ind w:left="1480" w:right="239" w:hanging="323"/>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 our product liability and clinical trial insurance coverage as we expand our clinical trials and commercialization efforts; and</w:t>
      </w:r>
    </w:p>
    <w:p>
      <w:pPr>
        <w:spacing w:after="0" w:line="197" w:lineRule="exact"/>
        <w:rPr>
          <w:rFonts w:ascii="Arial" w:cs="Arial" w:eastAsia="Arial" w:hAnsi="Arial"/>
          <w:sz w:val="18"/>
          <w:szCs w:val="18"/>
          <w:color w:val="auto"/>
        </w:rPr>
      </w:pPr>
    </w:p>
    <w:p>
      <w:pPr>
        <w:ind w:left="1480" w:hanging="323"/>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25" w:lineRule="exact"/>
        <w:rPr>
          <w:sz w:val="20"/>
          <w:szCs w:val="20"/>
          <w:color w:val="auto"/>
        </w:rPr>
      </w:pPr>
    </w:p>
    <w:p>
      <w:pPr>
        <w:ind w:left="60" w:right="219" w:firstLine="441"/>
        <w:spacing w:after="0" w:line="296" w:lineRule="auto"/>
        <w:rPr>
          <w:sz w:val="20"/>
          <w:szCs w:val="20"/>
          <w:color w:val="auto"/>
        </w:rPr>
      </w:pPr>
      <w:r>
        <w:rPr>
          <w:rFonts w:ascii="Arial" w:cs="Arial" w:eastAsia="Arial" w:hAnsi="Arial"/>
          <w:sz w:val="16"/>
          <w:szCs w:val="16"/>
          <w:color w:val="auto"/>
        </w:rPr>
        <w:t>Based on our current plans and forecasted expenses, which includes estimates related to anticipated cash inflows from DEXTENZA and ReSure Sealant product sales and cash outflows from operating expenses, we believe that our existing cash and cash equivalents, as of December 31, 2020, will enable us to fund our planned operating expenses, debt service obligations and capital expenditure requirements through 2023. We have based this estimate on assumptions that may prove to be wrong, and we could use our capital resources sooner than we currently expect.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1380" w:hanging="331"/>
        <w:spacing w:after="0"/>
        <w:tabs>
          <w:tab w:leader="none" w:pos="1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continue to commercialize and sell DEXTENZA in the United States;</w:t>
      </w:r>
    </w:p>
    <w:p>
      <w:pPr>
        <w:spacing w:after="0" w:line="252" w:lineRule="exact"/>
        <w:rPr>
          <w:rFonts w:ascii="Arial" w:cs="Arial" w:eastAsia="Arial" w:hAnsi="Arial"/>
          <w:sz w:val="18"/>
          <w:szCs w:val="18"/>
          <w:color w:val="auto"/>
        </w:rPr>
      </w:pPr>
    </w:p>
    <w:p>
      <w:pPr>
        <w:ind w:left="1380" w:right="259" w:hanging="331"/>
        <w:spacing w:after="0" w:line="277" w:lineRule="auto"/>
        <w:tabs>
          <w:tab w:leader="none" w:pos="1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by the FDA, the EMA or other regulatory authorities;</w:t>
      </w:r>
    </w:p>
    <w:p>
      <w:pPr>
        <w:spacing w:after="0" w:line="197" w:lineRule="exact"/>
        <w:rPr>
          <w:rFonts w:ascii="Arial" w:cs="Arial" w:eastAsia="Arial" w:hAnsi="Arial"/>
          <w:sz w:val="18"/>
          <w:szCs w:val="18"/>
          <w:color w:val="auto"/>
        </w:rPr>
      </w:pPr>
    </w:p>
    <w:p>
      <w:pPr>
        <w:ind w:left="1380" w:right="139" w:hanging="331"/>
        <w:spacing w:after="0" w:line="277" w:lineRule="auto"/>
        <w:tabs>
          <w:tab w:leader="none" w:pos="1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level of product sales from DEXTENZA and any additional products for which we obtain marketing approval in the future;</w:t>
      </w:r>
    </w:p>
    <w:p>
      <w:pPr>
        <w:spacing w:after="0" w:line="197" w:lineRule="exact"/>
        <w:rPr>
          <w:rFonts w:ascii="Arial" w:cs="Arial" w:eastAsia="Arial" w:hAnsi="Arial"/>
          <w:sz w:val="18"/>
          <w:szCs w:val="18"/>
          <w:color w:val="auto"/>
        </w:rPr>
      </w:pPr>
    </w:p>
    <w:p>
      <w:pPr>
        <w:jc w:val="both"/>
        <w:ind w:left="1380" w:right="519" w:hanging="331"/>
        <w:spacing w:after="0" w:line="263" w:lineRule="auto"/>
        <w:tabs>
          <w:tab w:leader="none" w:pos="1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of manufacturing, sales, marketing, distribution and other commercialization efforts with respect to DEXTENZA and any additional products for which we obtain marketing approval in the future;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80" w:hanging="331"/>
        <w:spacing w:after="0"/>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of expanding our facilities to accommodate our manufacturing needs and headcount;</w:t>
      </w:r>
    </w:p>
    <w:p>
      <w:pPr>
        <w:spacing w:after="0" w:line="252" w:lineRule="exact"/>
        <w:rPr>
          <w:rFonts w:ascii="Arial" w:cs="Arial" w:eastAsia="Arial" w:hAnsi="Arial"/>
          <w:sz w:val="18"/>
          <w:szCs w:val="18"/>
          <w:color w:val="auto"/>
        </w:rPr>
      </w:pPr>
    </w:p>
    <w:p>
      <w:pPr>
        <w:ind w:left="1380" w:right="139" w:hanging="331"/>
        <w:spacing w:after="0" w:line="257" w:lineRule="auto"/>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progress, costs and outcome of our planned and ongoing clinical trials of our extended-delivery drug delivery product candidates, in particular DEXTENZA for additional indications, OTX-TIC for the treatment of glaucoma or ocular hypertension, OTX-TKI for the treatment of wet AMD, OTX-CSI for the chronic treatment of dry eye disease, and OTX-DED for the short-term treatment of the signs and symptoms of dry eye disease;</w:t>
      </w:r>
    </w:p>
    <w:p>
      <w:pPr>
        <w:spacing w:after="0" w:line="214" w:lineRule="exact"/>
        <w:rPr>
          <w:rFonts w:ascii="Arial" w:cs="Arial" w:eastAsia="Arial" w:hAnsi="Arial"/>
          <w:sz w:val="18"/>
          <w:szCs w:val="18"/>
          <w:color w:val="auto"/>
        </w:rPr>
      </w:pPr>
    </w:p>
    <w:p>
      <w:pPr>
        <w:ind w:left="1380" w:right="99" w:hanging="331"/>
        <w:spacing w:after="0" w:line="277" w:lineRule="auto"/>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scope, progress, costs and outcome of preclinical development and clinical trials of our other product candidates;</w:t>
      </w:r>
    </w:p>
    <w:p>
      <w:pPr>
        <w:spacing w:after="0" w:line="197" w:lineRule="exact"/>
        <w:rPr>
          <w:rFonts w:ascii="Arial" w:cs="Arial" w:eastAsia="Arial" w:hAnsi="Arial"/>
          <w:sz w:val="18"/>
          <w:szCs w:val="18"/>
          <w:color w:val="auto"/>
        </w:rPr>
      </w:pPr>
    </w:p>
    <w:p>
      <w:pPr>
        <w:ind w:left="1380" w:right="159" w:hanging="331"/>
        <w:spacing w:after="0" w:line="277" w:lineRule="auto"/>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extent of our debt service obligations and our ability, if desired, to refinance any of our existing debt on terms that are more favorable to us;</w:t>
      </w:r>
    </w:p>
    <w:p>
      <w:pPr>
        <w:spacing w:after="0" w:line="197" w:lineRule="exact"/>
        <w:rPr>
          <w:rFonts w:ascii="Arial" w:cs="Arial" w:eastAsia="Arial" w:hAnsi="Arial"/>
          <w:sz w:val="18"/>
          <w:szCs w:val="18"/>
          <w:color w:val="auto"/>
        </w:rPr>
      </w:pPr>
    </w:p>
    <w:p>
      <w:pPr>
        <w:ind w:left="1380" w:right="159" w:hanging="331"/>
        <w:spacing w:after="0" w:line="259" w:lineRule="auto"/>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amounts we are entitled to receive, if any, from Regeneron as potential option exercise fees, development, regulatory and sales milestone payments and royalty payments and the amounts we are obligated to pay to Regeneron as reimbursement if it chooses to exercise its option to advance a product candidate under our collaboration agreement;</w:t>
      </w:r>
    </w:p>
    <w:p>
      <w:pPr>
        <w:spacing w:after="0" w:line="213" w:lineRule="exact"/>
        <w:rPr>
          <w:rFonts w:ascii="Arial" w:cs="Arial" w:eastAsia="Arial" w:hAnsi="Arial"/>
          <w:sz w:val="18"/>
          <w:szCs w:val="18"/>
          <w:color w:val="auto"/>
        </w:rPr>
      </w:pPr>
    </w:p>
    <w:p>
      <w:pPr>
        <w:ind w:left="1380" w:right="279" w:hanging="331"/>
        <w:spacing w:after="0" w:line="263" w:lineRule="auto"/>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amounts we are entitled to receive, if any, from AffaMed as reimbursements for clinical trial expenditures, development, regulatory, and sales milestone payments, and royalty payments under our license agreement with AffaMed;</w:t>
      </w:r>
    </w:p>
    <w:p>
      <w:pPr>
        <w:spacing w:after="0" w:line="210" w:lineRule="exact"/>
        <w:rPr>
          <w:rFonts w:ascii="Arial" w:cs="Arial" w:eastAsia="Arial" w:hAnsi="Arial"/>
          <w:sz w:val="18"/>
          <w:szCs w:val="18"/>
          <w:color w:val="auto"/>
        </w:rPr>
      </w:pPr>
    </w:p>
    <w:p>
      <w:pPr>
        <w:ind w:left="1380" w:right="559" w:hanging="331"/>
        <w:spacing w:after="0" w:line="277" w:lineRule="auto"/>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extent to which we choose to establish additional collaboration, distribution or other marketing arrangements for our products and product candidates;</w:t>
      </w:r>
    </w:p>
    <w:p>
      <w:pPr>
        <w:spacing w:after="0" w:line="197" w:lineRule="exact"/>
        <w:rPr>
          <w:rFonts w:ascii="Arial" w:cs="Arial" w:eastAsia="Arial" w:hAnsi="Arial"/>
          <w:sz w:val="18"/>
          <w:szCs w:val="18"/>
          <w:color w:val="auto"/>
        </w:rPr>
      </w:pPr>
    </w:p>
    <w:p>
      <w:pPr>
        <w:ind w:left="1380" w:hanging="331"/>
        <w:spacing w:after="0"/>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and outcomes of legal actions and proceedings;</w:t>
      </w:r>
    </w:p>
    <w:p>
      <w:pPr>
        <w:spacing w:after="0" w:line="252" w:lineRule="exact"/>
        <w:rPr>
          <w:rFonts w:ascii="Arial" w:cs="Arial" w:eastAsia="Arial" w:hAnsi="Arial"/>
          <w:sz w:val="18"/>
          <w:szCs w:val="18"/>
          <w:color w:val="auto"/>
        </w:rPr>
      </w:pPr>
    </w:p>
    <w:p>
      <w:pPr>
        <w:ind w:left="1380" w:right="219" w:hanging="331"/>
        <w:spacing w:after="0" w:line="342" w:lineRule="auto"/>
        <w:tabs>
          <w:tab w:leader="none" w:pos="13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costs and timing of preparing, filing and prosecuting patent applications, maintaining and enforcing our intellectual property rights and defending any intellectual property-related claims; and</w:t>
      </w:r>
    </w:p>
    <w:p>
      <w:pPr>
        <w:spacing w:after="0" w:line="150" w:lineRule="exact"/>
        <w:rPr>
          <w:rFonts w:ascii="Arial" w:cs="Arial" w:eastAsia="Arial" w:hAnsi="Arial"/>
          <w:sz w:val="16"/>
          <w:szCs w:val="16"/>
          <w:color w:val="auto"/>
        </w:rPr>
      </w:pPr>
    </w:p>
    <w:p>
      <w:pPr>
        <w:ind w:left="1380" w:hanging="331"/>
        <w:spacing w:after="0"/>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extent to which we acquire or invest in other businesses, products and technologies.</w:t>
      </w:r>
    </w:p>
    <w:p>
      <w:pPr>
        <w:spacing w:after="0" w:line="252" w:lineRule="exact"/>
        <w:rPr>
          <w:sz w:val="20"/>
          <w:szCs w:val="20"/>
          <w:color w:val="auto"/>
        </w:rPr>
      </w:pPr>
    </w:p>
    <w:p>
      <w:pPr>
        <w:ind w:left="60" w:right="119" w:firstLine="441"/>
        <w:spacing w:after="0" w:line="284" w:lineRule="auto"/>
        <w:rPr>
          <w:sz w:val="20"/>
          <w:szCs w:val="20"/>
          <w:color w:val="auto"/>
        </w:rPr>
      </w:pPr>
      <w:r>
        <w:rPr>
          <w:rFonts w:ascii="Arial" w:cs="Arial" w:eastAsia="Arial" w:hAnsi="Arial"/>
          <w:sz w:val="16"/>
          <w:szCs w:val="16"/>
          <w:color w:val="auto"/>
        </w:rPr>
        <w:t>Until such time, if ever, as we can generate product revenues sufficient to achieve profitability, we expect to finance our cash needs through equity offerings, debt financings, government or other third-party funding, collaborations, strategic alliances, licensing arrangements, royalty agreements, and marketing and distribution arrangements. We do not have any committed external source of funds, although our collaboration agreement with Regeneron provides for Regeneron’s reimbursement of certain preclinical expenses incurred by us under our collaboration agreement and for our potential receipt of option exercise, development, regulatory and sales milestone payments and royalty payments and our license agreement with AffaMed provides for AffaMed’s reimbursement of certain clinical expenses incurred by us in connection with our collaboration and for our potential receipt of development and sales milestone payments as well as royalty payments. To the extent that we raise additional capital through the sale of equity or convertible debt securities, each security holder’s ownership interest will be diluted, and the terms of these securities may include liquidation or other preferences that adversely affect each security holder’s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The covenants under our existing Credit Agreement, the pledge of our assets as collateral limit our ability to obtain additional debt financing. If we raise additional funds through government or other third-party funding, collaborations, strategic alliances, licensing arrangements, royalty agreements, or marketing and distribution arrangements, we may have to relinquish valuable rights to our technologies, future revenue streams, research programs or product candidates or grant licenses on terms that may not be favorable to us. In addition, the COVID-19 pandemic has already caused significant disruptions in the financial markets, and may continue to cause such disruptions, which could adversely impact our ability to raise additional funds through equity or debt financings. If we are unable to raise additional funds through equity or debt financings when needed, we may be required to delay, limit, reduce or terminate</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our product development or future commercialization efforts or grant rights to develop and market products or product candidates that we would otherwise prefer to develop and market ourselves.</w:t>
      </w:r>
    </w:p>
    <w:p>
      <w:pPr>
        <w:spacing w:after="0" w:line="170" w:lineRule="exact"/>
        <w:rPr>
          <w:sz w:val="20"/>
          <w:szCs w:val="20"/>
          <w:color w:val="auto"/>
        </w:rPr>
      </w:pPr>
    </w:p>
    <w:p>
      <w:pPr>
        <w:ind w:left="60" w:right="99" w:firstLine="441"/>
        <w:spacing w:after="0" w:line="268" w:lineRule="auto"/>
        <w:rPr>
          <w:sz w:val="20"/>
          <w:szCs w:val="20"/>
          <w:color w:val="auto"/>
        </w:rPr>
      </w:pPr>
      <w:r>
        <w:rPr>
          <w:rFonts w:ascii="Arial" w:cs="Arial" w:eastAsia="Arial" w:hAnsi="Arial"/>
          <w:sz w:val="17"/>
          <w:szCs w:val="17"/>
          <w:color w:val="auto"/>
        </w:rPr>
        <w:t>Since our inception in 2006, we have not recorded any U.S. federal or state income tax benefits for the net losses we have incurred in each year or our earned research and development tax credits, due to our uncertainty of realizing a benefit from those items. As of December 31, 2020, we had net operating loss, or NOL, carryforwards for federal and state income tax purposes of $354.7 million and $274.9 million, respectively. The federal and state NOLs generated for annual periods prior to January 1, 2018 begin to expire in 2026. Our federal NOLs generated for the years ended after December 31, 2018, which amounted to a total of $229.1 million, can be carried forward indefinitely. As of December 31, 2020, we also had available research and development tax credit carryforwards for federal and state income tax purposes of $9.2 million and $5.0 million , respectively, which begin to expire in 2026 and 2025,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Less Than</w:t>
            </w:r>
          </w:p>
        </w:tc>
        <w:tc>
          <w:tcPr>
            <w:tcW w:w="160" w:type="dxa"/>
            <w:vAlign w:val="bottom"/>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1 to 3</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3 to 5</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58"/>
        </w:trPr>
        <w:tc>
          <w:tcPr>
            <w:tcW w:w="488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4"/>
              <w:spacing w:after="0" w:line="158" w:lineRule="exact"/>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3"/>
                <w:szCs w:val="13"/>
                <w:color w:val="auto"/>
              </w:rPr>
            </w:pPr>
          </w:p>
        </w:tc>
        <w:tc>
          <w:tcPr>
            <w:tcW w:w="680" w:type="dxa"/>
            <w:vAlign w:val="bottom"/>
            <w:tcBorders>
              <w:bottom w:val="single" w:sz="8" w:color="auto"/>
            </w:tcBorders>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3"/>
                <w:szCs w:val="13"/>
                <w:color w:val="auto"/>
              </w:rPr>
            </w:pPr>
          </w:p>
        </w:tc>
        <w:tc>
          <w:tcPr>
            <w:tcW w:w="680" w:type="dxa"/>
            <w:vAlign w:val="bottom"/>
            <w:tcBorders>
              <w:bottom w:val="single" w:sz="8" w:color="auto"/>
            </w:tcBorders>
          </w:tcPr>
          <w:p>
            <w:pPr>
              <w:ind w:left="160"/>
              <w:spacing w:after="0" w:line="158" w:lineRule="exact"/>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
              <w:spacing w:after="0" w:line="158" w:lineRule="exact"/>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28"/>
        </w:trPr>
        <w:tc>
          <w:tcPr>
            <w:tcW w:w="4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$ 12,770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700" w:type="dxa"/>
            <w:vAlign w:val="bottom"/>
          </w:tcPr>
          <w:p>
            <w:pPr>
              <w:jc w:val="right"/>
              <w:spacing w:after="0"/>
              <w:rPr>
                <w:sz w:val="20"/>
                <w:szCs w:val="20"/>
                <w:color w:val="auto"/>
              </w:rPr>
            </w:pPr>
            <w:r>
              <w:rPr>
                <w:rFonts w:ascii="Arial" w:cs="Arial" w:eastAsia="Arial" w:hAnsi="Arial"/>
                <w:sz w:val="18"/>
                <w:szCs w:val="18"/>
                <w:color w:val="auto"/>
              </w:rPr>
              <w:t>29,683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10,427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19,256</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Convertible Notes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80" w:type="dxa"/>
            <w:vAlign w:val="bottom"/>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$ 95,928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12,910</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$ 24,161</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$ 57,973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99" w:firstLine="441"/>
        <w:spacing w:after="0" w:line="255" w:lineRule="auto"/>
        <w:rPr>
          <w:sz w:val="20"/>
          <w:szCs w:val="20"/>
          <w:color w:val="auto"/>
        </w:rPr>
      </w:pPr>
      <w:r>
        <w:rPr>
          <w:rFonts w:ascii="Arial" w:cs="Arial" w:eastAsia="Arial" w:hAnsi="Arial"/>
          <w:sz w:val="18"/>
          <w:szCs w:val="18"/>
          <w:color w:val="auto"/>
        </w:rPr>
        <w:t>The table above includes our enforceable and legally binding obligations and future commitments at December 31, 2020, as well as obligations related to contracts that we are likely to continue, regardless of the fact that they may be cancelable at December 31, 2020. Some of the figures that we include in this table are based on management’s estimates and assumptions about these obligations, including their duration, and other factors. Because these estimates and assumptions are necessarily subjective, the amounts we will actually pay in future periods may vary from those reflected in the table.</w:t>
      </w:r>
    </w:p>
    <w:p>
      <w:pPr>
        <w:spacing w:after="0" w:line="192" w:lineRule="exact"/>
        <w:rPr>
          <w:sz w:val="20"/>
          <w:szCs w:val="20"/>
          <w:color w:val="auto"/>
        </w:rPr>
      </w:pPr>
    </w:p>
    <w:p>
      <w:pPr>
        <w:ind w:left="60" w:right="79" w:firstLine="441"/>
        <w:spacing w:after="0" w:line="311" w:lineRule="auto"/>
        <w:rPr>
          <w:sz w:val="20"/>
          <w:szCs w:val="20"/>
          <w:color w:val="auto"/>
        </w:rPr>
      </w:pPr>
      <w:r>
        <w:rPr>
          <w:rFonts w:ascii="Arial" w:cs="Arial" w:eastAsia="Arial" w:hAnsi="Arial"/>
          <w:sz w:val="16"/>
          <w:szCs w:val="16"/>
          <w:color w:val="auto"/>
        </w:rPr>
        <w:t>We enter into contracts in the normal course of business to assist in the performance of our research and development activities and other services and products for operating purposes. These contracts generally provide for termination on notice, and therefore are cancelable contracts and not included contractual obligations and commitments.</w:t>
      </w:r>
    </w:p>
    <w:p>
      <w:pPr>
        <w:spacing w:after="0" w:line="149" w:lineRule="exact"/>
        <w:rPr>
          <w:sz w:val="20"/>
          <w:szCs w:val="20"/>
          <w:color w:val="auto"/>
        </w:rPr>
      </w:pPr>
    </w:p>
    <w:p>
      <w:pPr>
        <w:ind w:left="60" w:right="99" w:firstLine="441"/>
        <w:spacing w:after="0" w:line="279" w:lineRule="auto"/>
        <w:rPr>
          <w:sz w:val="20"/>
          <w:szCs w:val="20"/>
          <w:color w:val="auto"/>
        </w:rPr>
      </w:pPr>
      <w:r>
        <w:rPr>
          <w:rFonts w:ascii="Arial" w:cs="Arial" w:eastAsia="Arial" w:hAnsi="Arial"/>
          <w:sz w:val="17"/>
          <w:szCs w:val="17"/>
          <w:color w:val="auto"/>
        </w:rPr>
        <w:t>Operating lease commitments represent payments due under our leases of office, laboratory and manufacturing space in Bedford, Massachusetts and certain office equipment under operating leases that expire in July 2023, March 2024 and July 2027. We expect lease costs under these commitments to total $2.5 million in 2021 and increase annually. We expect total costs of approximately $12.8 million over the terms of our current leases.</w:t>
      </w:r>
    </w:p>
    <w:p>
      <w:pPr>
        <w:spacing w:after="0" w:line="171" w:lineRule="exact"/>
        <w:rPr>
          <w:sz w:val="20"/>
          <w:szCs w:val="20"/>
          <w:color w:val="auto"/>
        </w:rPr>
      </w:pPr>
    </w:p>
    <w:p>
      <w:pPr>
        <w:ind w:left="60" w:right="239" w:firstLine="441"/>
        <w:spacing w:after="0" w:line="263" w:lineRule="auto"/>
        <w:rPr>
          <w:sz w:val="20"/>
          <w:szCs w:val="20"/>
          <w:color w:val="auto"/>
        </w:rPr>
      </w:pPr>
      <w:r>
        <w:rPr>
          <w:rFonts w:ascii="Arial" w:cs="Arial" w:eastAsia="Arial" w:hAnsi="Arial"/>
          <w:sz w:val="18"/>
          <w:szCs w:val="18"/>
          <w:color w:val="auto"/>
        </w:rPr>
        <w:t>Under our Credit Agreement, we have been permitted to make interest-only payments since December 2018. Commencing in January 2021, we are required to make 36 equal monthly installments of principal in the amount of $0.7 million, plus interest, through December 2023.</w:t>
      </w:r>
    </w:p>
    <w:p>
      <w:pPr>
        <w:spacing w:after="0" w:line="184" w:lineRule="exact"/>
        <w:rPr>
          <w:sz w:val="20"/>
          <w:szCs w:val="20"/>
          <w:color w:val="auto"/>
        </w:rPr>
      </w:pPr>
    </w:p>
    <w:p>
      <w:pPr>
        <w:ind w:left="60" w:right="59" w:firstLine="441"/>
        <w:spacing w:after="0" w:line="290" w:lineRule="auto"/>
        <w:rPr>
          <w:sz w:val="20"/>
          <w:szCs w:val="20"/>
          <w:color w:val="auto"/>
        </w:rPr>
      </w:pPr>
      <w:r>
        <w:rPr>
          <w:rFonts w:ascii="Arial" w:cs="Arial" w:eastAsia="Arial" w:hAnsi="Arial"/>
          <w:sz w:val="16"/>
          <w:szCs w:val="16"/>
          <w:color w:val="auto"/>
        </w:rPr>
        <w:t>On March 2019, we issued the 2026 Convertible Notes pursuant to a note purchase agreement, or the Purchase Agreement, with Cap 1 LLC, an affiliate of Summer Road LLC. The 2026 Convertible Notes accrue interest at an annual rate of 6% of its outstanding principal amount, payable at maturity, on March 1, 2026, unless earlier converted, repurchased or redeemed. The holders of the 2026 Convertible Notes may convert all or part of the outstanding principal amount of their 2026 Convertible Notes into shares of our common stock, par value $0.0001 per share, prior to maturity and provided that no conversion results in a holder beneficially owning more than 19.99% of our issued and outstanding common stock. The conversion rate is initially 153.8462 shares of our common stock per $1,000 principal amount of the 2026 Convertible Notes, which is equivalent to an initial conversion price is $6.50 per share. The conversion rate is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subject to adjustment in customary circumstances such as stock splits or similar changes to our capitalization. At our election, we may choose to make such conversion payment in cash, in shares of common stock, or in a combination thereof. Upon any conversion of any 2026 Convertible Note, we are obligated to make a cash payment to the holder of such 2026 Convertible Note for any interest accrued but unpaid on the principal amount converted. Upon the occurrence of a Corporate Transaction (as defined in the 2026 Convertible Notes), the holder of a 2026 Convertible Note is entitled, at such holder’s option, to convert all of the outstanding principal amount of the 2026 Convertible Note in accordance with the foregoing and receive an additional, “make-whole” cash payment in accordance with a table set forth in each 2026 Convertible Note.</w:t>
      </w:r>
    </w:p>
    <w:p>
      <w:pPr>
        <w:spacing w:after="0" w:line="192" w:lineRule="exact"/>
        <w:rPr>
          <w:sz w:val="20"/>
          <w:szCs w:val="20"/>
          <w:color w:val="auto"/>
        </w:rPr>
      </w:pPr>
    </w:p>
    <w:p>
      <w:pPr>
        <w:ind w:left="60" w:right="119" w:firstLine="441"/>
        <w:spacing w:after="0" w:line="259" w:lineRule="auto"/>
        <w:rPr>
          <w:sz w:val="20"/>
          <w:szCs w:val="20"/>
          <w:color w:val="auto"/>
        </w:rPr>
      </w:pPr>
      <w:r>
        <w:rPr>
          <w:rFonts w:ascii="Arial" w:cs="Arial" w:eastAsia="Arial" w:hAnsi="Arial"/>
          <w:sz w:val="18"/>
          <w:szCs w:val="18"/>
          <w:color w:val="auto"/>
        </w:rPr>
        <w:t>Upon the occurrence of a Corporate Transaction, each holder of a 2026 Convertible Note has the option to require us to repurchase all or part of the outstanding principal amount of such 2026 Convertible Note at a repurchase price equal to 100% of the outstanding principal amount of the 2026 Convertible Note to be repurchased, plus accrued and unpaid interest to, but excluding, the repurchase date.</w:t>
      </w:r>
    </w:p>
    <w:p>
      <w:pPr>
        <w:spacing w:after="0" w:line="187" w:lineRule="exact"/>
        <w:rPr>
          <w:sz w:val="20"/>
          <w:szCs w:val="20"/>
          <w:color w:val="auto"/>
        </w:rPr>
      </w:pPr>
    </w:p>
    <w:p>
      <w:pPr>
        <w:ind w:left="60" w:right="119" w:firstLine="441"/>
        <w:spacing w:after="0" w:line="296" w:lineRule="auto"/>
        <w:rPr>
          <w:sz w:val="20"/>
          <w:szCs w:val="20"/>
          <w:color w:val="auto"/>
        </w:rPr>
      </w:pPr>
      <w:r>
        <w:rPr>
          <w:rFonts w:ascii="Arial" w:cs="Arial" w:eastAsia="Arial" w:hAnsi="Arial"/>
          <w:sz w:val="16"/>
          <w:szCs w:val="16"/>
          <w:color w:val="auto"/>
        </w:rPr>
        <w:t>On or after March 1, 2022, if the last reported sale price of the common stock has been at least 130% of the conversion rate then in effect for twenty of the preceding thirty trading days (including the last trading day of such period), we are entitled, at our option, to redeem all or part of the outstanding principal amount of the 2026 Convertible Notes, on a pro rata basis, at an optional redemption price equal to 100% of the outstanding principal amount of the 2026 Convertible Notes to be redeemed, plus accrued and unpaid interest to, but excluding, the optional redemption date.</w:t>
      </w:r>
    </w:p>
    <w:p>
      <w:pPr>
        <w:spacing w:after="0" w:line="161" w:lineRule="exact"/>
        <w:rPr>
          <w:sz w:val="20"/>
          <w:szCs w:val="20"/>
          <w:color w:val="auto"/>
        </w:rPr>
      </w:pPr>
    </w:p>
    <w:p>
      <w:pPr>
        <w:ind w:left="60" w:right="159" w:firstLine="441"/>
        <w:spacing w:after="0" w:line="279" w:lineRule="auto"/>
        <w:rPr>
          <w:sz w:val="20"/>
          <w:szCs w:val="20"/>
          <w:color w:val="auto"/>
        </w:rPr>
      </w:pPr>
      <w:r>
        <w:rPr>
          <w:rFonts w:ascii="Arial" w:cs="Arial" w:eastAsia="Arial" w:hAnsi="Arial"/>
          <w:sz w:val="17"/>
          <w:szCs w:val="17"/>
          <w:color w:val="auto"/>
        </w:rPr>
        <w:t>The Purchase Agreement contains customary representations and warranties by us and the noteholder. The Purchase Agreement does not include any financial covenants. Our obligations under the Purchase Agreement and the 2026 Convertible Notes are subject to acceleration upon the occurrence of specified events of default, including a default or breach of certain contracts material to us and the delisting and deregistration of our common stock.</w:t>
      </w:r>
    </w:p>
    <w:p>
      <w:pPr>
        <w:spacing w:after="0" w:line="171"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We have in-licensed a significant portion of our intellectual property from Incept, an intellectual property holding company, under an amended and restated license agreement, or the License Agreement, that we entered into with Incept in January 2012, which was most recently amended in September 2018. We are obligated to pay Incept a royalty equal to a low-single-digit percentage of net sales made by us or our affiliates of any products, devices, materials, or components thereof, or the Licensed Products, including or covered by Original IP (as defined in the License Agreement), excluding the Shape-Changing IP (as defined in the License Agreement), in the Ophthalmic Field of Use (as defined in the License Agreement). We are obligated to pay Incept a royalty equal to a mid-single-digit percentage of net sales made by us or our affiliates of any Licensed Products including or covered by Original IP, excluding the Shape-Changing IP, in the Additional Field of Use (as defined in the License Agreement). We are obligated to pay Incept a royalty equal to a low-single-digit percentage of net sales made by us or our affiliates of any Licensed Products including or covered by Incept IP (as defined in the License Agreement) or Joint IP (as defined in the License Agreement) in the field of drug delivery. Any sublicensee of ours also will be obligated to pay Incept a royalty on net sales of Licensed Products made by it and will be bound by the terms of the agreement to the same extent as we are. We are obligated to reimburse Incept for our share of the reasonable fees and costs incurred by Incept in connection with the prosecution of the patent applications licensed to us under the agreement. Our share of these fees and costs is equal to the total amount of such fees and costs divided by the total number of Incept’s exclusive licensees of the patent application. We have not included in the table above any payments to Incept under this license agreement as the amount, timing and likelihood of such payments are not known.</w:t>
      </w:r>
    </w:p>
    <w:p>
      <w:pPr>
        <w:spacing w:after="0" w:line="174" w:lineRule="exact"/>
        <w:rPr>
          <w:sz w:val="20"/>
          <w:szCs w:val="20"/>
          <w:color w:val="auto"/>
        </w:rPr>
      </w:pPr>
    </w:p>
    <w:p>
      <w:pPr>
        <w:ind w:left="60" w:right="79" w:firstLine="441"/>
        <w:spacing w:after="0" w:line="286" w:lineRule="auto"/>
        <w:rPr>
          <w:sz w:val="20"/>
          <w:szCs w:val="20"/>
          <w:color w:val="auto"/>
        </w:rPr>
      </w:pPr>
      <w:r>
        <w:rPr>
          <w:rFonts w:ascii="Arial" w:cs="Arial" w:eastAsia="Arial" w:hAnsi="Arial"/>
          <w:sz w:val="16"/>
          <w:szCs w:val="16"/>
          <w:color w:val="auto"/>
        </w:rPr>
        <w:t>In October 2016, we entered into the Collaboration Agreement with Regeneron. If the Option is exercised, Regeneron will be obligated to conduct further preclinical development and an initial clinical trial under a collaboration plan. We are obligated to reimburse Regeneron for certain development costs during the period through the completion of the initial clinical trial, subject to a cap of $25.0 million, which cap may be increased by up to $5.0 million under certain circumstances. We have not included in the table above any payments to Regeneron under this Collaboration Agreement as the timing of such payments are not known. Regeneron will be responsible for funding an initial preclinical tolerability study, which Regeneron initiated in early 2018. We do not expect our funding requirements under our collaboration with Regeneron to be material over the next twelve months. If Regeneron elects to proceed with further development beyond the initial clinical trial, it will be solely responsible for conducting and funding further development and commercialization of product candidates. On May 8, 2020, we entered into an amendment (the “Regeneron Amendment”) to the Collaboration Agreement. Pursuant to the Regeneron Amendment, we and Regeneron have adopted a new workplan to transition joint efforts under the Collaboration Agreement to the research and development of an extended-delivery formulation of aflibercept to be delivered to the suprachoroidal space. Regeneron has agreed to pay</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our personnel and material costs for specified preclinical development activities in connection with the revised workplan, as well as certain other costs. In addition, the Regeneron Amendment provides for the modification of the terms of the Option previously granted to Regeneron under the Collaboration Agreement.</w:t>
      </w:r>
    </w:p>
    <w:p>
      <w:pPr>
        <w:spacing w:after="0" w:line="184" w:lineRule="exact"/>
        <w:rPr>
          <w:sz w:val="20"/>
          <w:szCs w:val="20"/>
          <w:color w:val="auto"/>
        </w:rPr>
      </w:pPr>
    </w:p>
    <w:p>
      <w:pPr>
        <w:ind w:left="60" w:right="79" w:firstLine="441"/>
        <w:spacing w:after="0" w:line="285" w:lineRule="auto"/>
        <w:rPr>
          <w:sz w:val="20"/>
          <w:szCs w:val="20"/>
          <w:color w:val="auto"/>
        </w:rPr>
      </w:pPr>
      <w:r>
        <w:rPr>
          <w:rFonts w:ascii="Arial" w:cs="Arial" w:eastAsia="Arial" w:hAnsi="Arial"/>
          <w:sz w:val="16"/>
          <w:szCs w:val="16"/>
          <w:color w:val="auto"/>
        </w:rPr>
        <w:t>On October 29, 2020, we entered into the License Agreement with AffaMed. Pursuant to the terms of the License Agreement, we are generally responsible for expenses related to the development and commercialization of DEXTENZA regarding ocular inflammation and pain following cataract surgery and allergic conjunctivitis, or collectively, the DEXTENZA Field, and for OTX-TIC, or collectively with DEXTENZA, the AffaMed Licensed Products, regarding open-angle glaucoma and ocular hypertension, or collectively, the TIC Field and, with the DEXTENZA Field, each a Field, in each case in mainland China, Taiwan, Hong Kong, Macau, South Korea, and the countries of the Association of Southeast Asian Nations, or collectively, the Territories, provided that AffaMed (i) reimburse us a low-teen percentage of expenses incurred in connection with certain clinical trials conducted by us and designed to support marketing approval of the AffaMed Licensed Product by FDA or the European Medicines Agency, or the Global Studies; (ii) is solely responsible for expenses incurred in connection with territory-specific clinical trials that it conducts in furtherance of the development plan agreed between the parties in the applicable Fields in the Territories, or the Local Studies; and (iii) reimburse us in full for expenses incurred in connection with obtaining and maintaining regulatory approvals of the AffaMed Licensed Products in the applicable Fields in the Territories. In the event AffaMed declines to participate in a Global Study or to conduct a Local Study in any jurisdiction in which we determine to conduct such a study, we are relieved of our obligation to provide AffaMed clinical data from such study, other than safety data, unless AffaMed subsequently reimburses us in the amounts described above plus a prespecified premium.</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199" w:firstLine="441"/>
        <w:spacing w:after="0" w:line="301" w:lineRule="auto"/>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in the rules and regulations of the Securities and Exchange Commission, such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0" w:right="239" w:firstLine="441"/>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2 –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to the current period’s consolidated financial statements.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Smaller Reporting Company Status</w:t>
      </w:r>
    </w:p>
    <w:p>
      <w:pPr>
        <w:spacing w:after="0" w:line="229" w:lineRule="exact"/>
        <w:rPr>
          <w:sz w:val="20"/>
          <w:szCs w:val="20"/>
          <w:color w:val="auto"/>
        </w:rPr>
      </w:pPr>
    </w:p>
    <w:p>
      <w:pPr>
        <w:ind w:left="60" w:right="139" w:firstLine="441"/>
        <w:spacing w:after="0" w:line="255" w:lineRule="auto"/>
        <w:rPr>
          <w:sz w:val="20"/>
          <w:szCs w:val="20"/>
          <w:color w:val="auto"/>
        </w:rPr>
      </w:pPr>
      <w:r>
        <w:rPr>
          <w:rFonts w:ascii="Arial" w:cs="Arial" w:eastAsia="Arial" w:hAnsi="Arial"/>
          <w:sz w:val="18"/>
          <w:szCs w:val="18"/>
          <w:color w:val="auto"/>
        </w:rPr>
        <w:t>We are a “smaller reporting company,” as defined in Rule 12b-2 under the Securities Exchange Act of 1934, as amended. We would cease to be a smaller reporting company if we have a non-affiliate public float in excess of $250 million and annual revenues in excess of $100 million, or a non-affiliate public float in excess of $700 million, determined on an annual basis. As a smaller reporting company, we are permitted and intend to rely on exemptions from certain disclosure requirements that are applicable to other public companies that are not smaller reporting companies. These exemptions include:</w:t>
      </w:r>
    </w:p>
    <w:p>
      <w:pPr>
        <w:spacing w:after="0" w:line="192" w:lineRule="exact"/>
        <w:rPr>
          <w:sz w:val="20"/>
          <w:szCs w:val="20"/>
          <w:color w:val="auto"/>
        </w:rPr>
      </w:pPr>
    </w:p>
    <w:p>
      <w:pPr>
        <w:jc w:val="both"/>
        <w:ind w:left="840" w:right="139" w:hanging="331"/>
        <w:spacing w:after="0" w:line="263" w:lineRule="auto"/>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consolidated financial statements in this Annual Report on Form 10-K, with correspondingly reduced “Management's Discussion and Analysis of Financial Condition and Results of Operations” disclosure;</w:t>
      </w:r>
    </w:p>
    <w:p>
      <w:pPr>
        <w:spacing w:after="0" w:line="183" w:lineRule="exact"/>
        <w:rPr>
          <w:rFonts w:ascii="Arial" w:cs="Arial" w:eastAsia="Arial" w:hAnsi="Arial"/>
          <w:sz w:val="18"/>
          <w:szCs w:val="18"/>
          <w:color w:val="auto"/>
        </w:rPr>
      </w:pPr>
    </w:p>
    <w:p>
      <w:pPr>
        <w:ind w:left="840" w:hanging="331"/>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840" w:right="559" w:hanging="331"/>
        <w:spacing w:after="0" w:line="277" w:lineRule="auto"/>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 being required to furnish a contractual obligations table in “Management's Discussion and Analysis of Financial Condition and Results of Operations”; and</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 being required to furnish a stock performance graph in our annual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441"/>
        <w:spacing w:after="0" w:line="255" w:lineRule="auto"/>
        <w:rPr>
          <w:sz w:val="20"/>
          <w:szCs w:val="20"/>
          <w:color w:val="auto"/>
        </w:rPr>
      </w:pPr>
      <w:r>
        <w:rPr>
          <w:rFonts w:ascii="Arial" w:cs="Arial" w:eastAsia="Arial" w:hAnsi="Arial"/>
          <w:sz w:val="18"/>
          <w:szCs w:val="18"/>
          <w:color w:val="auto"/>
        </w:rPr>
        <w:t>We expect to continue to take advantage of some or all of the available exemptions as long as we continue to qualify as a smaller reporting company. We may cease to qualify as a smaller reporting company as early as June 30, 2021, which would require us to comply with disclosure requirements that are applicable to other public companies that are not smaller reporting companies following the filing of our Annual Report on Form 10-K for the year ending December 31, 2021, and any portions of our definitive proxy statement relating to our 2022 Annual Meeting of Stockholders incorporated by reference therein.</w:t>
      </w:r>
    </w:p>
    <w:p>
      <w:pPr>
        <w:spacing w:after="0" w:line="200" w:lineRule="exact"/>
        <w:rPr>
          <w:sz w:val="20"/>
          <w:szCs w:val="20"/>
          <w:color w:val="auto"/>
        </w:rPr>
      </w:pPr>
    </w:p>
    <w:p>
      <w:pPr>
        <w:spacing w:after="0" w:line="204"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right="199" w:firstLine="441"/>
        <w:spacing w:after="0" w:line="272" w:lineRule="auto"/>
        <w:rPr>
          <w:sz w:val="20"/>
          <w:szCs w:val="20"/>
          <w:color w:val="auto"/>
        </w:rPr>
      </w:pPr>
      <w:r>
        <w:rPr>
          <w:rFonts w:ascii="Arial" w:cs="Arial" w:eastAsia="Arial" w:hAnsi="Arial"/>
          <w:sz w:val="17"/>
          <w:szCs w:val="17"/>
          <w:color w:val="auto"/>
        </w:rPr>
        <w:t>We are exposed to market risk related to changes in interest rates. As of December 31, 2020, we had cash and cash equivalents of $228.1 million, which consisted of money market funds. We have policies requiring us to invest in high-quality issuers, limit our exposure to any individual issuer, and ensure adequate liquidity. Our primary exposure to market risk is interest rate sensitivity, which is affected by changes in the general level of U.S. interest rates, particularly because our investments are in short-term securities. Due to the short-term duration of our investment portfolio and the low risk profile of our investments, an immediate 100 basis point change in interest rates would not have a material effect on the fair market value of our portfolio.</w:t>
      </w:r>
    </w:p>
    <w:p>
      <w:pPr>
        <w:spacing w:after="0" w:line="17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left="60" w:right="139" w:firstLine="441"/>
        <w:spacing w:after="0" w:line="277"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on pages F-1 through F-35 of this Annual Report on Form 10-K.</w:t>
      </w:r>
    </w:p>
    <w:p>
      <w:pPr>
        <w:spacing w:after="0" w:line="180"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79" w:firstLine="441"/>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2020, our Chief Executive Officer and Chief Financial Officer concluded that, as of such date, our disclosure controls and procedures were effective at the reasonable assurance level.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79" w:firstLine="441"/>
        <w:spacing w:after="0" w:line="29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the company. Internal control over financial reporting is defined in Rules 13a-15(f) and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external purposes in accordance with generally accepted accounting principles and includes those policies and procedures that:</w:t>
      </w:r>
    </w:p>
    <w:p>
      <w:pPr>
        <w:spacing w:after="0" w:line="170" w:lineRule="exact"/>
        <w:rPr>
          <w:sz w:val="20"/>
          <w:szCs w:val="20"/>
          <w:color w:val="auto"/>
        </w:rPr>
      </w:pPr>
    </w:p>
    <w:p>
      <w:pPr>
        <w:ind w:left="840" w:right="239" w:hanging="331"/>
        <w:spacing w:after="0" w:line="277" w:lineRule="auto"/>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ind w:left="840" w:right="319" w:hanging="331"/>
        <w:spacing w:after="0" w:line="259" w:lineRule="auto"/>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840" w:right="579" w:hanging="331"/>
        <w:spacing w:after="0" w:line="342" w:lineRule="auto"/>
        <w:tabs>
          <w:tab w:leader="none" w:pos="8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left="60" w:right="139" w:firstLine="44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60" w:right="119" w:firstLine="441"/>
        <w:spacing w:after="0" w:line="275" w:lineRule="auto"/>
        <w:rPr>
          <w:sz w:val="20"/>
          <w:szCs w:val="20"/>
          <w:color w:val="auto"/>
        </w:rPr>
      </w:pPr>
      <w:r>
        <w:rPr>
          <w:rFonts w:ascii="Arial" w:cs="Arial" w:eastAsia="Arial" w:hAnsi="Arial"/>
          <w:sz w:val="17"/>
          <w:szCs w:val="17"/>
          <w:color w:val="auto"/>
        </w:rPr>
        <w:t xml:space="preserve">Our management, including our Chief Executive Officer and Chief Financial Officer, assessed the effectiveness of our internal control over financial reporting as of December 31, 2020.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Based on that assessment, our management concluded that, as of December 31, 2020,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over financial reporting was effective.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299" w:firstLine="441"/>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December 31, 2020 that has materially affected, or is reasonably likely to materially affect, our internal control over financial reporting.</w:t>
      </w:r>
    </w:p>
    <w:p>
      <w:pPr>
        <w:spacing w:after="0" w:line="180"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60" w:right="579" w:firstLine="441"/>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Stockholders and is incorporated in this Annual Report on Form 10-K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left="60" w:right="579" w:firstLine="441"/>
        <w:spacing w:after="0" w:line="308" w:lineRule="auto"/>
        <w:rPr>
          <w:sz w:val="20"/>
          <w:szCs w:val="20"/>
          <w:color w:val="auto"/>
        </w:rPr>
      </w:pPr>
      <w:r>
        <w:rPr>
          <w:rFonts w:ascii="Arial" w:cs="Arial" w:eastAsia="Arial" w:hAnsi="Arial"/>
          <w:sz w:val="17"/>
          <w:szCs w:val="17"/>
          <w:color w:val="auto"/>
        </w:rPr>
        <w:t>The information required by this item will be set forth in our Proxy Statement for the 2021 Annual Meeting of Stockholders, if applicable, and is incorporated in this Annual Report on Form 10-K by reference.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left="60" w:right="139" w:firstLine="441"/>
        <w:spacing w:after="0" w:line="255" w:lineRule="auto"/>
        <w:rPr>
          <w:sz w:val="20"/>
          <w:szCs w:val="20"/>
          <w:color w:val="auto"/>
        </w:rPr>
      </w:pPr>
      <w:r>
        <w:rPr>
          <w:rFonts w:ascii="Arial" w:cs="Arial" w:eastAsia="Arial" w:hAnsi="Arial"/>
          <w:sz w:val="18"/>
          <w:szCs w:val="18"/>
          <w:color w:val="auto"/>
        </w:rPr>
        <w:t>We have adopted a code of business conduct and ethics that applies to our directors and officers (including our principal executive officer, principal financial officer, principal accounting officer or controller, or persons performing similar functions) as well as our other employees. A copy of our code of business conduct and ethics is available on our website. We intend to post on our website all disclosures that are required by applicable law, the rules of the Securities and Exchange Commission or the Nasdaq Global Market concerning any amendment to, or waiver of, our code of business conduct and ethics.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Nominees</w:t>
      </w:r>
    </w:p>
    <w:p>
      <w:pPr>
        <w:spacing w:after="0" w:line="229" w:lineRule="exact"/>
        <w:rPr>
          <w:sz w:val="20"/>
          <w:szCs w:val="20"/>
          <w:color w:val="auto"/>
        </w:rPr>
      </w:pPr>
    </w:p>
    <w:p>
      <w:pPr>
        <w:ind w:left="60" w:right="579" w:firstLine="441"/>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Stockholders and is incorporated in this Annual Report on Form 10-K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60" w:right="59" w:firstLine="441"/>
        <w:spacing w:after="0" w:line="259" w:lineRule="auto"/>
        <w:rPr>
          <w:sz w:val="20"/>
          <w:szCs w:val="20"/>
          <w:color w:val="auto"/>
        </w:rPr>
      </w:pPr>
      <w:r>
        <w:rPr>
          <w:rFonts w:ascii="Arial" w:cs="Arial" w:eastAsia="Arial" w:hAnsi="Arial"/>
          <w:sz w:val="18"/>
          <w:szCs w:val="18"/>
          <w:color w:val="auto"/>
        </w:rPr>
        <w:t>We have separately designated a standing Audit Committee established in accordance with Section 3(a)(58)(A) of the Securities Exchange Act of 1934, as amended, or the Exchange Act. Additional information regarding the Audit Committee that is required by this item will be set forth in our Proxy Statement for the 2021 Annual Meeting of Stockholders and is incorporated in this Annual Report on Form 10-K by reference.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ind w:left="60" w:right="159" w:firstLine="441"/>
        <w:spacing w:after="0" w:line="342" w:lineRule="auto"/>
        <w:rPr>
          <w:sz w:val="20"/>
          <w:szCs w:val="20"/>
          <w:color w:val="auto"/>
        </w:rPr>
      </w:pPr>
      <w:r>
        <w:rPr>
          <w:rFonts w:ascii="Arial" w:cs="Arial" w:eastAsia="Arial" w:hAnsi="Arial"/>
          <w:sz w:val="16"/>
          <w:szCs w:val="16"/>
          <w:color w:val="auto"/>
        </w:rPr>
        <w:t>Our board of directors has determined that Bruce Peacock is the “audit committee financial expert” as defined by Item 407(d)(5) of Regulation S-K of the Exchange Act and is “independent” under the rules of the Nasdaq Global Market.</w:t>
      </w:r>
    </w:p>
    <w:p>
      <w:pPr>
        <w:spacing w:after="0" w:line="120"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left="60" w:right="579" w:firstLine="441"/>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Stockholders and is incorporated in this Annual Report on Form 10-K by reference.</w:t>
      </w:r>
    </w:p>
    <w:p>
      <w:pPr>
        <w:spacing w:after="0" w:line="166" w:lineRule="exact"/>
        <w:rPr>
          <w:sz w:val="20"/>
          <w:szCs w:val="20"/>
          <w:color w:val="auto"/>
        </w:rPr>
      </w:pPr>
    </w:p>
    <w:p>
      <w:pPr>
        <w:jc w:val="center"/>
        <w:ind w:right="119"/>
        <w:spacing w:after="0"/>
        <w:tabs>
          <w:tab w:leader="none" w:pos="3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60" w:right="579" w:firstLine="441"/>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Stockholders and is incorporated in this Annual Report on Form 10-K by reference.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0" w:right="579" w:firstLine="441"/>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Stockholders and is incorporated in this Annual Report on Form 10-K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0" w:name="page151"/>
    <w:bookmarkEnd w:id="1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60" w:right="579" w:firstLine="441"/>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Stockholders and is incorporated in this Annual Report on Form 10-K by reference.</w:t>
      </w:r>
    </w:p>
    <w:p>
      <w:pPr>
        <w:spacing w:after="0" w:line="166"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00" w:lineRule="exact"/>
        <w:rPr>
          <w:sz w:val="20"/>
          <w:szCs w:val="20"/>
          <w:color w:val="auto"/>
        </w:rPr>
      </w:pPr>
    </w:p>
    <w:p>
      <w:pPr>
        <w:spacing w:after="0" w:line="286" w:lineRule="exact"/>
        <w:rPr>
          <w:sz w:val="20"/>
          <w:szCs w:val="20"/>
          <w:color w:val="auto"/>
        </w:rPr>
      </w:pPr>
    </w:p>
    <w:p>
      <w:pPr>
        <w:ind w:left="60" w:right="579" w:firstLine="441"/>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Stockholders and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1" w:name="page152"/>
    <w:bookmarkEnd w:id="1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340" w:type="dxa"/>
            <w:vAlign w:val="bottom"/>
          </w:tcPr>
          <w:p>
            <w:pPr>
              <w:ind w:left="3260"/>
              <w:spacing w:after="0"/>
              <w:rPr>
                <w:sz w:val="20"/>
                <w:szCs w:val="20"/>
                <w:color w:val="auto"/>
              </w:rPr>
            </w:pPr>
            <w:r>
              <w:rPr>
                <w:rFonts w:ascii="Arial" w:cs="Arial" w:eastAsia="Arial" w:hAnsi="Arial"/>
                <w:sz w:val="18"/>
                <w:szCs w:val="18"/>
                <w:b w:val="1"/>
                <w:bCs w:val="1"/>
                <w:color w:val="auto"/>
              </w:rPr>
              <w:t>PART IV</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7340" w:type="dxa"/>
            <w:vAlign w:val="bottom"/>
          </w:tcPr>
          <w:p>
            <w:pPr>
              <w:ind w:left="160"/>
              <w:spacing w:after="0"/>
              <w:rPr>
                <w:sz w:val="20"/>
                <w:szCs w:val="20"/>
                <w:color w:val="auto"/>
              </w:rPr>
            </w:pPr>
            <w:r>
              <w:rPr>
                <w:rFonts w:ascii="Arial" w:cs="Arial" w:eastAsia="Arial" w:hAnsi="Arial"/>
                <w:sz w:val="18"/>
                <w:szCs w:val="18"/>
                <w:b w:val="1"/>
                <w:bCs w:val="1"/>
                <w:color w:val="auto"/>
              </w:rPr>
              <w:t>Exhibits, Financial Statement Schedules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gridSpan w:val="2"/>
          </w:tcPr>
          <w:p>
            <w:pPr>
              <w:ind w:left="440"/>
              <w:spacing w:after="0"/>
              <w:rPr>
                <w:sz w:val="20"/>
                <w:szCs w:val="20"/>
                <w:color w:val="auto"/>
              </w:rPr>
            </w:pPr>
            <w:r>
              <w:rPr>
                <w:rFonts w:ascii="Arial" w:cs="Arial" w:eastAsia="Arial" w:hAnsi="Arial"/>
                <w:sz w:val="18"/>
                <w:szCs w:val="18"/>
                <w:color w:val="auto"/>
              </w:rPr>
              <w:t>The following financial statements are filed as part of this Annual Report on Form 10-K:</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160" w:type="dxa"/>
            <w:vAlign w:val="bottom"/>
            <w:gridSpan w:val="2"/>
            <w:vMerge w:val="restart"/>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Report of Independent Registered Public Accounting Firm</w:t>
              </w:r>
            </w:hyperlink>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8160" w:type="dxa"/>
            <w:vAlign w:val="bottom"/>
            <w:gridSpan w:val="2"/>
            <w:vMerge w:val="continue"/>
          </w:tcPr>
          <w:p>
            <w:pPr>
              <w:spacing w:after="0"/>
              <w:rPr>
                <w:sz w:val="16"/>
                <w:szCs w:val="16"/>
                <w:color w:val="auto"/>
              </w:rPr>
            </w:pPr>
          </w:p>
        </w:tc>
        <w:tc>
          <w:tcPr>
            <w:tcW w:w="740" w:type="dxa"/>
            <w:vAlign w:val="bottom"/>
          </w:tcPr>
          <w:p>
            <w:pPr>
              <w:jc w:val="center"/>
              <w:spacing w:after="0" w:line="195"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Consolidated Balance Sheets</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Consolidated Statements of Operations and Comprehensive Loss</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Consolidated Statements of Changes in Stockholders’ Equity (Deficit)</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Consolidated Statements of Cash Flows</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30"/>
        </w:trPr>
        <w:tc>
          <w:tcPr>
            <w:tcW w:w="8160" w:type="dxa"/>
            <w:vAlign w:val="bottom"/>
            <w:gridSpan w:val="2"/>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Notes to Consolidated Financial Statements</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99" w:firstLine="441"/>
        <w:spacing w:after="0" w:line="263" w:lineRule="auto"/>
        <w:rPr>
          <w:sz w:val="20"/>
          <w:szCs w:val="20"/>
          <w:color w:val="auto"/>
        </w:rPr>
      </w:pPr>
      <w:r>
        <w:rPr>
          <w:rFonts w:ascii="Arial" w:cs="Arial" w:eastAsia="Arial" w:hAnsi="Arial"/>
          <w:sz w:val="18"/>
          <w:szCs w:val="18"/>
          <w:color w:val="auto"/>
        </w:rPr>
        <w:t>No financial statement schedules have been filed as part of this Annual Report on Form 10-K because they are not applicable, not required or because the information is otherwise included in our consolidated financial statements or notes thereto.</w:t>
      </w:r>
    </w:p>
    <w:p>
      <w:pPr>
        <w:spacing w:after="0" w:line="184" w:lineRule="exact"/>
        <w:rPr>
          <w:sz w:val="20"/>
          <w:szCs w:val="20"/>
          <w:color w:val="auto"/>
        </w:rPr>
      </w:pPr>
    </w:p>
    <w:p>
      <w:pPr>
        <w:ind w:left="60" w:right="679" w:firstLine="441"/>
        <w:spacing w:after="0" w:line="277" w:lineRule="auto"/>
        <w:rPr>
          <w:sz w:val="20"/>
          <w:szCs w:val="20"/>
          <w:color w:val="auto"/>
        </w:rPr>
      </w:pPr>
      <w:r>
        <w:rPr>
          <w:rFonts w:ascii="Arial" w:cs="Arial" w:eastAsia="Arial" w:hAnsi="Arial"/>
          <w:sz w:val="18"/>
          <w:szCs w:val="18"/>
          <w:color w:val="auto"/>
        </w:rPr>
        <w:t>The exhibits filed as part of this Annual Report on Form 10-K are set forth on the Exhibit Index immediately following Item 16. The Exhibit Index is incorporated herein by reference.</w:t>
      </w:r>
    </w:p>
    <w:p>
      <w:pPr>
        <w:spacing w:after="0" w:line="166"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19"/>
        </w:trPr>
        <w:tc>
          <w:tcPr>
            <w:tcW w:w="9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60" w:type="dxa"/>
            <w:vAlign w:val="bottom"/>
            <w:gridSpan w:val="20"/>
            <w:vMerge w:val="restart"/>
          </w:tcPr>
          <w:p>
            <w:pPr>
              <w:ind w:left="80"/>
              <w:spacing w:after="0"/>
              <w:rPr>
                <w:sz w:val="20"/>
                <w:szCs w:val="20"/>
                <w:color w:val="auto"/>
              </w:rPr>
            </w:pPr>
            <w:r>
              <w:rPr>
                <w:rFonts w:ascii="Arial" w:cs="Arial" w:eastAsia="Arial" w:hAnsi="Arial"/>
                <w:sz w:val="14"/>
                <w:szCs w:val="14"/>
                <w:b w:val="1"/>
                <w:bCs w:val="1"/>
                <w:color w:val="auto"/>
              </w:rPr>
              <w:t>Description of Exhibit</w:t>
            </w: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Form</w:t>
            </w:r>
          </w:p>
        </w:tc>
        <w:tc>
          <w:tcPr>
            <w:tcW w:w="15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File Number</w:t>
            </w:r>
          </w:p>
        </w:tc>
        <w:tc>
          <w:tcPr>
            <w:tcW w:w="10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Date of</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20"/>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Filing</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4"/>
                <w:szCs w:val="14"/>
                <w:color w:val="auto"/>
              </w:rPr>
            </w:pPr>
          </w:p>
        </w:tc>
        <w:tc>
          <w:tcPr>
            <w:tcW w:w="2840" w:type="dxa"/>
            <w:vAlign w:val="bottom"/>
            <w:tcBorders>
              <w:top w:val="single" w:sz="8" w:color="auto"/>
              <w:bottom w:val="single" w:sz="8" w:color="0000EE"/>
            </w:tcBorders>
            <w:gridSpan w:val="18"/>
          </w:tcPr>
          <w:p>
            <w:pPr>
              <w:spacing w:after="0" w:line="169"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Restated Certificate of Incorporation of</w:t>
              </w:r>
            </w:hyperlink>
          </w:p>
        </w:tc>
        <w:tc>
          <w:tcPr>
            <w:tcW w:w="160" w:type="dxa"/>
            <w:vAlign w:val="bottom"/>
            <w:tcBorders>
              <w:top w:val="single" w:sz="8" w:color="auto"/>
            </w:tcBorders>
            <w:gridSpan w:val="4"/>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4"/>
                <w:szCs w:val="14"/>
                <w:color w:val="auto"/>
              </w:rPr>
            </w:pPr>
          </w:p>
        </w:tc>
        <w:tc>
          <w:tcPr>
            <w:tcW w:w="1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14"/>
                <w:szCs w:val="14"/>
                <w:color w:val="auto"/>
              </w:rPr>
            </w:pPr>
          </w:p>
        </w:tc>
        <w:tc>
          <w:tcPr>
            <w:tcW w:w="9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7/30/2014</w:t>
            </w:r>
          </w:p>
        </w:tc>
        <w:tc>
          <w:tcPr>
            <w:tcW w:w="140" w:type="dxa"/>
            <w:vAlign w:val="bottom"/>
          </w:tcPr>
          <w:p>
            <w:pPr>
              <w:spacing w:after="0"/>
              <w:rPr>
                <w:sz w:val="14"/>
                <w:szCs w:val="14"/>
                <w:color w:val="auto"/>
              </w:rPr>
            </w:pPr>
          </w:p>
        </w:tc>
        <w:tc>
          <w:tcPr>
            <w:tcW w:w="5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23"/>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the Registrant</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24"/>
                <w:szCs w:val="24"/>
                <w:color w:val="auto"/>
              </w:rPr>
            </w:pPr>
          </w:p>
        </w:tc>
        <w:tc>
          <w:tcPr>
            <w:tcW w:w="2720" w:type="dxa"/>
            <w:vAlign w:val="bottom"/>
            <w:tcBorders>
              <w:bottom w:val="single" w:sz="8" w:color="0000EE"/>
            </w:tcBorders>
            <w:gridSpan w:val="15"/>
          </w:tcPr>
          <w:p>
            <w:pPr>
              <w:spacing w:after="0"/>
              <w:rPr>
                <w:rFonts w:ascii="Arial" w:cs="Arial" w:eastAsia="Arial" w:hAnsi="Arial"/>
                <w:sz w:val="18"/>
                <w:szCs w:val="18"/>
                <w:color w:val="0000EE"/>
                <w:w w:val="89"/>
              </w:rPr>
            </w:pPr>
            <w:hyperlink r:id="rId192">
              <w:r>
                <w:rPr>
                  <w:rFonts w:ascii="Arial" w:cs="Arial" w:eastAsia="Arial" w:hAnsi="Arial"/>
                  <w:sz w:val="18"/>
                  <w:szCs w:val="18"/>
                  <w:color w:val="0000EE"/>
                  <w:w w:val="89"/>
                </w:rPr>
                <w:t>Amended and Restated Bylaws of the</w:t>
              </w:r>
            </w:hyperlink>
          </w:p>
        </w:tc>
        <w:tc>
          <w:tcPr>
            <w:tcW w:w="480" w:type="dxa"/>
            <w:vAlign w:val="bottom"/>
            <w:gridSpan w:val="8"/>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7/30/2014</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23"/>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Registrant</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40" w:type="dxa"/>
            <w:vAlign w:val="bottom"/>
          </w:tcPr>
          <w:p>
            <w:pPr>
              <w:spacing w:after="0"/>
              <w:rPr>
                <w:sz w:val="24"/>
                <w:szCs w:val="24"/>
                <w:color w:val="auto"/>
              </w:rPr>
            </w:pPr>
          </w:p>
        </w:tc>
        <w:tc>
          <w:tcPr>
            <w:tcW w:w="3200" w:type="dxa"/>
            <w:vAlign w:val="bottom"/>
            <w:gridSpan w:val="23"/>
          </w:tcPr>
          <w:p>
            <w:pPr>
              <w:spacing w:after="0"/>
              <w:rPr>
                <w:rFonts w:ascii="Arial" w:cs="Arial" w:eastAsia="Arial" w:hAnsi="Arial"/>
                <w:sz w:val="18"/>
                <w:szCs w:val="18"/>
                <w:color w:val="0000EE"/>
              </w:rPr>
            </w:pPr>
            <w:hyperlink r:id="rId193">
              <w:r>
                <w:rPr>
                  <w:rFonts w:ascii="Arial" w:cs="Arial" w:eastAsia="Arial" w:hAnsi="Arial"/>
                  <w:sz w:val="18"/>
                  <w:szCs w:val="18"/>
                  <w:color w:val="0000EE"/>
                </w:rPr>
                <w:t>Specimen Stock Certificate evidencing</w:t>
              </w:r>
            </w:hyperlink>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333-196932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7/11/2014</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the shares of common stock</w:t>
              </w:r>
            </w:hyperlink>
          </w:p>
        </w:tc>
        <w:tc>
          <w:tcPr>
            <w:tcW w:w="4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24"/>
                <w:szCs w:val="24"/>
                <w:color w:val="auto"/>
              </w:rPr>
            </w:pPr>
          </w:p>
        </w:tc>
        <w:tc>
          <w:tcPr>
            <w:tcW w:w="2920" w:type="dxa"/>
            <w:vAlign w:val="bottom"/>
            <w:tcBorders>
              <w:bottom w:val="single" w:sz="8" w:color="0000EE"/>
            </w:tcBorders>
            <w:gridSpan w:val="21"/>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Registration Rights Agreement, dated as</w:t>
              </w:r>
            </w:hyperlink>
          </w:p>
        </w:tc>
        <w:tc>
          <w:tcPr>
            <w:tcW w:w="280" w:type="dxa"/>
            <w:vAlign w:val="bottom"/>
            <w:gridSpan w:val="2"/>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3/7/2019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23"/>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of March 1, 2019, by and among the</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23"/>
          </w:tcPr>
          <w:p>
            <w:pPr>
              <w:spacing w:after="0" w:line="196" w:lineRule="exact"/>
              <w:rPr>
                <w:rFonts w:ascii="Arial" w:cs="Arial" w:eastAsia="Arial" w:hAnsi="Arial"/>
                <w:sz w:val="18"/>
                <w:szCs w:val="18"/>
                <w:color w:val="0000EE"/>
                <w:w w:val="99"/>
              </w:rPr>
            </w:pPr>
            <w:hyperlink r:id="rId194">
              <w:r>
                <w:rPr>
                  <w:rFonts w:ascii="Arial" w:cs="Arial" w:eastAsia="Arial" w:hAnsi="Arial"/>
                  <w:sz w:val="18"/>
                  <w:szCs w:val="18"/>
                  <w:color w:val="0000EE"/>
                  <w:w w:val="99"/>
                </w:rPr>
                <w:t>Registrant and the Purchasers identified</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therein</w:t>
              </w:r>
            </w:hyperlink>
          </w:p>
        </w:tc>
        <w:tc>
          <w:tcPr>
            <w:tcW w:w="3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40" w:type="dxa"/>
            <w:vAlign w:val="bottom"/>
          </w:tcPr>
          <w:p>
            <w:pPr>
              <w:spacing w:after="0"/>
              <w:rPr>
                <w:sz w:val="24"/>
                <w:szCs w:val="24"/>
                <w:color w:val="auto"/>
              </w:rPr>
            </w:pPr>
          </w:p>
        </w:tc>
        <w:tc>
          <w:tcPr>
            <w:tcW w:w="2600" w:type="dxa"/>
            <w:vAlign w:val="bottom"/>
            <w:tcBorders>
              <w:bottom w:val="single" w:sz="8" w:color="0000EE"/>
            </w:tcBorders>
            <w:gridSpan w:val="12"/>
          </w:tcPr>
          <w:p>
            <w:pPr>
              <w:spacing w:after="0"/>
              <w:rPr>
                <w:rFonts w:ascii="Arial" w:cs="Arial" w:eastAsia="Arial" w:hAnsi="Arial"/>
                <w:sz w:val="18"/>
                <w:szCs w:val="18"/>
                <w:color w:val="0000EE"/>
                <w:w w:val="89"/>
              </w:rPr>
            </w:pPr>
            <w:hyperlink r:id="rId195">
              <w:r>
                <w:rPr>
                  <w:rFonts w:ascii="Arial" w:cs="Arial" w:eastAsia="Arial" w:hAnsi="Arial"/>
                  <w:sz w:val="18"/>
                  <w:szCs w:val="18"/>
                  <w:color w:val="0000EE"/>
                  <w:w w:val="89"/>
                </w:rPr>
                <w:t>Description of Securities Registered</w:t>
              </w:r>
            </w:hyperlink>
          </w:p>
        </w:tc>
        <w:tc>
          <w:tcPr>
            <w:tcW w:w="600" w:type="dxa"/>
            <w:vAlign w:val="bottom"/>
            <w:gridSpan w:val="11"/>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3/12/2020</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23"/>
          </w:tcPr>
          <w:p>
            <w:pPr>
              <w:spacing w:after="0"/>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under Section 12 of the Exchange Act</w:t>
              </w:r>
            </w:hyperlink>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jc w:val="center"/>
              <w:spacing w:after="0"/>
              <w:rPr>
                <w:sz w:val="20"/>
                <w:szCs w:val="20"/>
                <w:color w:val="auto"/>
              </w:rPr>
            </w:pPr>
            <w:r>
              <w:rPr>
                <w:rFonts w:ascii="Arial" w:cs="Arial" w:eastAsia="Arial" w:hAnsi="Arial"/>
                <w:sz w:val="18"/>
                <w:szCs w:val="18"/>
                <w:color w:val="auto"/>
                <w:w w:val="87"/>
              </w:rPr>
              <w:t>10.1+</w:t>
            </w:r>
          </w:p>
        </w:tc>
        <w:tc>
          <w:tcPr>
            <w:tcW w:w="140" w:type="dxa"/>
            <w:vAlign w:val="bottom"/>
          </w:tcPr>
          <w:p>
            <w:pPr>
              <w:spacing w:after="0"/>
              <w:rPr>
                <w:sz w:val="24"/>
                <w:szCs w:val="24"/>
                <w:color w:val="auto"/>
              </w:rPr>
            </w:pPr>
          </w:p>
        </w:tc>
        <w:tc>
          <w:tcPr>
            <w:tcW w:w="3200" w:type="dxa"/>
            <w:vAlign w:val="bottom"/>
            <w:gridSpan w:val="23"/>
          </w:tcPr>
          <w:p>
            <w:pPr>
              <w:spacing w:after="0"/>
              <w:rPr>
                <w:rFonts w:ascii="Arial" w:cs="Arial" w:eastAsia="Arial" w:hAnsi="Arial"/>
                <w:sz w:val="18"/>
                <w:szCs w:val="18"/>
                <w:u w:val="single" w:color="auto"/>
                <w:color w:val="0000EE"/>
              </w:rPr>
            </w:pPr>
            <w:hyperlink r:id="rId196">
              <w:r>
                <w:rPr>
                  <w:rFonts w:ascii="Arial" w:cs="Arial" w:eastAsia="Arial" w:hAnsi="Arial"/>
                  <w:sz w:val="18"/>
                  <w:szCs w:val="18"/>
                  <w:u w:val="single" w:color="auto"/>
                  <w:color w:val="0000EE"/>
                </w:rPr>
                <w:t>2006 Stock Incentive Plan, as amended</w:t>
              </w:r>
            </w:hyperlink>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333-196932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6/20/2014</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tcPr>
          <w:p>
            <w:pPr>
              <w:jc w:val="center"/>
              <w:spacing w:after="0"/>
              <w:rPr>
                <w:sz w:val="20"/>
                <w:szCs w:val="20"/>
                <w:color w:val="auto"/>
              </w:rPr>
            </w:pPr>
            <w:r>
              <w:rPr>
                <w:rFonts w:ascii="Arial" w:cs="Arial" w:eastAsia="Arial" w:hAnsi="Arial"/>
                <w:sz w:val="18"/>
                <w:szCs w:val="18"/>
                <w:color w:val="auto"/>
                <w:w w:val="87"/>
              </w:rPr>
              <w:t>10.2+</w:t>
            </w:r>
          </w:p>
        </w:tc>
        <w:tc>
          <w:tcPr>
            <w:tcW w:w="140" w:type="dxa"/>
            <w:vAlign w:val="bottom"/>
          </w:tcPr>
          <w:p>
            <w:pPr>
              <w:spacing w:after="0"/>
              <w:rPr>
                <w:sz w:val="24"/>
                <w:szCs w:val="24"/>
                <w:color w:val="auto"/>
              </w:rPr>
            </w:pPr>
          </w:p>
        </w:tc>
        <w:tc>
          <w:tcPr>
            <w:tcW w:w="3200" w:type="dxa"/>
            <w:vAlign w:val="bottom"/>
            <w:gridSpan w:val="23"/>
          </w:tcPr>
          <w:p>
            <w:pPr>
              <w:spacing w:after="0"/>
              <w:rPr>
                <w:rFonts w:ascii="Arial" w:cs="Arial" w:eastAsia="Arial" w:hAnsi="Arial"/>
                <w:sz w:val="18"/>
                <w:szCs w:val="18"/>
                <w:color w:val="0000EE"/>
              </w:rPr>
            </w:pPr>
            <w:hyperlink r:id="rId197">
              <w:r>
                <w:rPr>
                  <w:rFonts w:ascii="Arial" w:cs="Arial" w:eastAsia="Arial" w:hAnsi="Arial"/>
                  <w:sz w:val="18"/>
                  <w:szCs w:val="18"/>
                  <w:color w:val="0000EE"/>
                </w:rPr>
                <w:t>Form of Stock Option Agreement under</w:t>
              </w:r>
            </w:hyperlink>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333-196932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6/20/2014</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2006 Stock Incentive Plan</w:t>
              </w:r>
            </w:hyperlink>
          </w:p>
        </w:tc>
        <w:tc>
          <w:tcPr>
            <w:tcW w:w="980" w:type="dxa"/>
            <w:vAlign w:val="bottom"/>
            <w:tcBorders>
              <w:top w:val="single" w:sz="8" w:color="0000EE"/>
            </w:tcBorders>
            <w:gridSpan w:val="13"/>
          </w:tcPr>
          <w:p>
            <w:pPr>
              <w:spacing w:after="0"/>
              <w:rPr>
                <w:sz w:val="17"/>
                <w:szCs w:val="17"/>
                <w:color w:val="auto"/>
              </w:rPr>
            </w:pPr>
          </w:p>
        </w:tc>
        <w:tc>
          <w:tcPr>
            <w:tcW w:w="32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760" w:type="dxa"/>
            <w:vAlign w:val="bottom"/>
          </w:tcPr>
          <w:p>
            <w:pPr>
              <w:jc w:val="center"/>
              <w:spacing w:after="0"/>
              <w:rPr>
                <w:sz w:val="20"/>
                <w:szCs w:val="20"/>
                <w:color w:val="auto"/>
              </w:rPr>
            </w:pPr>
            <w:r>
              <w:rPr>
                <w:rFonts w:ascii="Arial" w:cs="Arial" w:eastAsia="Arial" w:hAnsi="Arial"/>
                <w:sz w:val="18"/>
                <w:szCs w:val="18"/>
                <w:color w:val="auto"/>
                <w:w w:val="87"/>
              </w:rPr>
              <w:t>10.3+</w:t>
            </w:r>
          </w:p>
        </w:tc>
        <w:tc>
          <w:tcPr>
            <w:tcW w:w="140" w:type="dxa"/>
            <w:vAlign w:val="bottom"/>
          </w:tcPr>
          <w:p>
            <w:pPr>
              <w:spacing w:after="0"/>
              <w:rPr>
                <w:sz w:val="24"/>
                <w:szCs w:val="24"/>
                <w:color w:val="auto"/>
              </w:rPr>
            </w:pPr>
          </w:p>
        </w:tc>
        <w:tc>
          <w:tcPr>
            <w:tcW w:w="2660" w:type="dxa"/>
            <w:vAlign w:val="bottom"/>
            <w:tcBorders>
              <w:bottom w:val="single" w:sz="8" w:color="0000EE"/>
            </w:tcBorders>
            <w:gridSpan w:val="14"/>
          </w:tcPr>
          <w:p>
            <w:pPr>
              <w:spacing w:after="0"/>
              <w:rPr>
                <w:rFonts w:ascii="Arial" w:cs="Arial" w:eastAsia="Arial" w:hAnsi="Arial"/>
                <w:sz w:val="18"/>
                <w:szCs w:val="18"/>
                <w:color w:val="0000EE"/>
                <w:w w:val="90"/>
              </w:rPr>
            </w:pPr>
            <w:hyperlink r:id="rId198">
              <w:r>
                <w:rPr>
                  <w:rFonts w:ascii="Arial" w:cs="Arial" w:eastAsia="Arial" w:hAnsi="Arial"/>
                  <w:sz w:val="18"/>
                  <w:szCs w:val="18"/>
                  <w:color w:val="0000EE"/>
                  <w:w w:val="90"/>
                </w:rPr>
                <w:t>Form of Restricted Stock Agreement</w:t>
              </w:r>
            </w:hyperlink>
          </w:p>
        </w:tc>
        <w:tc>
          <w:tcPr>
            <w:tcW w:w="540" w:type="dxa"/>
            <w:vAlign w:val="bottom"/>
            <w:gridSpan w:val="9"/>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333-196932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6/20/2014</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23"/>
          </w:tcPr>
          <w:p>
            <w:pPr>
              <w:spacing w:after="0"/>
              <w:rPr>
                <w:rFonts w:ascii="Arial" w:cs="Arial" w:eastAsia="Arial" w:hAnsi="Arial"/>
                <w:sz w:val="18"/>
                <w:szCs w:val="18"/>
                <w:u w:val="single" w:color="auto"/>
                <w:color w:val="0000EE"/>
              </w:rPr>
            </w:pPr>
            <w:hyperlink r:id="rId198">
              <w:r>
                <w:rPr>
                  <w:rFonts w:ascii="Arial" w:cs="Arial" w:eastAsia="Arial" w:hAnsi="Arial"/>
                  <w:sz w:val="18"/>
                  <w:szCs w:val="18"/>
                  <w:u w:val="single" w:color="auto"/>
                  <w:color w:val="0000EE"/>
                </w:rPr>
                <w:t>under 2006 Stock Incentive Plan</w:t>
              </w:r>
            </w:hyperlink>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jc w:val="center"/>
              <w:spacing w:after="0"/>
              <w:rPr>
                <w:sz w:val="20"/>
                <w:szCs w:val="20"/>
                <w:color w:val="auto"/>
              </w:rPr>
            </w:pPr>
            <w:r>
              <w:rPr>
                <w:rFonts w:ascii="Arial" w:cs="Arial" w:eastAsia="Arial" w:hAnsi="Arial"/>
                <w:sz w:val="18"/>
                <w:szCs w:val="18"/>
                <w:color w:val="auto"/>
                <w:w w:val="87"/>
              </w:rPr>
              <w:t>10.4+</w:t>
            </w:r>
          </w:p>
        </w:tc>
        <w:tc>
          <w:tcPr>
            <w:tcW w:w="140" w:type="dxa"/>
            <w:vAlign w:val="bottom"/>
          </w:tcPr>
          <w:p>
            <w:pPr>
              <w:spacing w:after="0"/>
              <w:rPr>
                <w:sz w:val="24"/>
                <w:szCs w:val="24"/>
                <w:color w:val="auto"/>
              </w:rPr>
            </w:pPr>
          </w:p>
        </w:tc>
        <w:tc>
          <w:tcPr>
            <w:tcW w:w="3200" w:type="dxa"/>
            <w:vAlign w:val="bottom"/>
            <w:gridSpan w:val="23"/>
          </w:tcPr>
          <w:p>
            <w:pPr>
              <w:spacing w:after="0"/>
              <w:rPr>
                <w:rFonts w:ascii="Arial" w:cs="Arial" w:eastAsia="Arial" w:hAnsi="Arial"/>
                <w:sz w:val="18"/>
                <w:szCs w:val="18"/>
                <w:u w:val="single" w:color="auto"/>
                <w:color w:val="0000EE"/>
              </w:rPr>
            </w:pPr>
            <w:hyperlink r:id="rId199">
              <w:r>
                <w:rPr>
                  <w:rFonts w:ascii="Arial" w:cs="Arial" w:eastAsia="Arial" w:hAnsi="Arial"/>
                  <w:sz w:val="18"/>
                  <w:szCs w:val="18"/>
                  <w:u w:val="single" w:color="auto"/>
                  <w:color w:val="0000EE"/>
                </w:rPr>
                <w:t>2014 Stock Incentive Plan</w:t>
              </w:r>
            </w:hyperlink>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333-196932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7/11/2014</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tcPr>
          <w:p>
            <w:pPr>
              <w:jc w:val="center"/>
              <w:spacing w:after="0"/>
              <w:rPr>
                <w:sz w:val="20"/>
                <w:szCs w:val="20"/>
                <w:color w:val="auto"/>
              </w:rPr>
            </w:pPr>
            <w:r>
              <w:rPr>
                <w:rFonts w:ascii="Arial" w:cs="Arial" w:eastAsia="Arial" w:hAnsi="Arial"/>
                <w:sz w:val="18"/>
                <w:szCs w:val="18"/>
                <w:color w:val="auto"/>
                <w:w w:val="87"/>
              </w:rPr>
              <w:t>10.5+</w:t>
            </w:r>
          </w:p>
        </w:tc>
        <w:tc>
          <w:tcPr>
            <w:tcW w:w="140" w:type="dxa"/>
            <w:vAlign w:val="bottom"/>
          </w:tcPr>
          <w:p>
            <w:pPr>
              <w:spacing w:after="0"/>
              <w:rPr>
                <w:sz w:val="24"/>
                <w:szCs w:val="24"/>
                <w:color w:val="auto"/>
              </w:rPr>
            </w:pPr>
          </w:p>
        </w:tc>
        <w:tc>
          <w:tcPr>
            <w:tcW w:w="2300" w:type="dxa"/>
            <w:vAlign w:val="bottom"/>
            <w:tcBorders>
              <w:bottom w:val="single" w:sz="8" w:color="0000EE"/>
            </w:tcBorders>
            <w:gridSpan w:val="10"/>
          </w:tcPr>
          <w:p>
            <w:pPr>
              <w:spacing w:after="0"/>
              <w:rPr>
                <w:rFonts w:ascii="Arial" w:cs="Arial" w:eastAsia="Arial" w:hAnsi="Arial"/>
                <w:sz w:val="18"/>
                <w:szCs w:val="18"/>
                <w:color w:val="0000EE"/>
                <w:w w:val="92"/>
              </w:rPr>
            </w:pPr>
            <w:hyperlink r:id="rId200">
              <w:r>
                <w:rPr>
                  <w:rFonts w:ascii="Arial" w:cs="Arial" w:eastAsia="Arial" w:hAnsi="Arial"/>
                  <w:sz w:val="18"/>
                  <w:szCs w:val="18"/>
                  <w:color w:val="0000EE"/>
                  <w:w w:val="92"/>
                </w:rPr>
                <w:t>Form of Incentive Stock Option</w:t>
              </w:r>
            </w:hyperlink>
          </w:p>
        </w:tc>
        <w:tc>
          <w:tcPr>
            <w:tcW w:w="900" w:type="dxa"/>
            <w:vAlign w:val="bottom"/>
            <w:gridSpan w:val="13"/>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333-196932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7/11/2014</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23"/>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Agreement under 2014 Stock Incentive</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Plan</w:t>
              </w:r>
            </w:hyperlink>
          </w:p>
        </w:tc>
        <w:tc>
          <w:tcPr>
            <w:tcW w:w="3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60" w:type="dxa"/>
            <w:vAlign w:val="bottom"/>
          </w:tcPr>
          <w:p>
            <w:pPr>
              <w:jc w:val="center"/>
              <w:spacing w:after="0"/>
              <w:rPr>
                <w:sz w:val="20"/>
                <w:szCs w:val="20"/>
                <w:color w:val="auto"/>
              </w:rPr>
            </w:pPr>
            <w:r>
              <w:rPr>
                <w:rFonts w:ascii="Arial" w:cs="Arial" w:eastAsia="Arial" w:hAnsi="Arial"/>
                <w:sz w:val="18"/>
                <w:szCs w:val="18"/>
                <w:color w:val="auto"/>
                <w:w w:val="87"/>
              </w:rPr>
              <w:t>10.6+</w:t>
            </w:r>
          </w:p>
        </w:tc>
        <w:tc>
          <w:tcPr>
            <w:tcW w:w="140" w:type="dxa"/>
            <w:vAlign w:val="bottom"/>
          </w:tcPr>
          <w:p>
            <w:pPr>
              <w:spacing w:after="0"/>
              <w:rPr>
                <w:sz w:val="24"/>
                <w:szCs w:val="24"/>
                <w:color w:val="auto"/>
              </w:rPr>
            </w:pPr>
          </w:p>
        </w:tc>
        <w:tc>
          <w:tcPr>
            <w:tcW w:w="2640" w:type="dxa"/>
            <w:vAlign w:val="bottom"/>
            <w:tcBorders>
              <w:bottom w:val="single" w:sz="8" w:color="0000EE"/>
            </w:tcBorders>
            <w:gridSpan w:val="13"/>
          </w:tcPr>
          <w:p>
            <w:pPr>
              <w:spacing w:after="0"/>
              <w:rPr>
                <w:rFonts w:ascii="Arial" w:cs="Arial" w:eastAsia="Arial" w:hAnsi="Arial"/>
                <w:sz w:val="18"/>
                <w:szCs w:val="18"/>
                <w:color w:val="0000EE"/>
                <w:w w:val="92"/>
              </w:rPr>
            </w:pPr>
            <w:hyperlink r:id="rId201">
              <w:r>
                <w:rPr>
                  <w:rFonts w:ascii="Arial" w:cs="Arial" w:eastAsia="Arial" w:hAnsi="Arial"/>
                  <w:sz w:val="18"/>
                  <w:szCs w:val="18"/>
                  <w:color w:val="0000EE"/>
                  <w:w w:val="92"/>
                </w:rPr>
                <w:t>Form of Non-statutory Stock Option</w:t>
              </w:r>
            </w:hyperlink>
          </w:p>
        </w:tc>
        <w:tc>
          <w:tcPr>
            <w:tcW w:w="560" w:type="dxa"/>
            <w:vAlign w:val="bottom"/>
            <w:gridSpan w:val="10"/>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333-196932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7/11/2014</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23"/>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Agreement under 2014 Stock Incentive</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Plan</w:t>
              </w:r>
            </w:hyperlink>
          </w:p>
        </w:tc>
        <w:tc>
          <w:tcPr>
            <w:tcW w:w="3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60" w:type="dxa"/>
            <w:vAlign w:val="bottom"/>
          </w:tcPr>
          <w:p>
            <w:pPr>
              <w:jc w:val="center"/>
              <w:spacing w:after="0"/>
              <w:rPr>
                <w:sz w:val="20"/>
                <w:szCs w:val="20"/>
                <w:color w:val="auto"/>
              </w:rPr>
            </w:pPr>
            <w:r>
              <w:rPr>
                <w:rFonts w:ascii="Arial" w:cs="Arial" w:eastAsia="Arial" w:hAnsi="Arial"/>
                <w:sz w:val="18"/>
                <w:szCs w:val="18"/>
                <w:color w:val="auto"/>
                <w:w w:val="87"/>
              </w:rPr>
              <w:t>10.7+</w:t>
            </w:r>
          </w:p>
        </w:tc>
        <w:tc>
          <w:tcPr>
            <w:tcW w:w="140" w:type="dxa"/>
            <w:vAlign w:val="bottom"/>
          </w:tcPr>
          <w:p>
            <w:pPr>
              <w:spacing w:after="0"/>
              <w:rPr>
                <w:sz w:val="24"/>
                <w:szCs w:val="24"/>
                <w:color w:val="auto"/>
              </w:rPr>
            </w:pPr>
          </w:p>
        </w:tc>
        <w:tc>
          <w:tcPr>
            <w:tcW w:w="2660" w:type="dxa"/>
            <w:vAlign w:val="bottom"/>
            <w:tcBorders>
              <w:bottom w:val="single" w:sz="8" w:color="0000EE"/>
            </w:tcBorders>
            <w:gridSpan w:val="14"/>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Form of Restricted Stock Agreement</w:t>
              </w:r>
            </w:hyperlink>
          </w:p>
        </w:tc>
        <w:tc>
          <w:tcPr>
            <w:tcW w:w="540" w:type="dxa"/>
            <w:vAlign w:val="bottom"/>
            <w:gridSpan w:val="9"/>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333-196932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7/11/2014</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23"/>
          </w:tcPr>
          <w:p>
            <w:pPr>
              <w:spacing w:after="0"/>
              <w:rPr>
                <w:rFonts w:ascii="Arial" w:cs="Arial" w:eastAsia="Arial" w:hAnsi="Arial"/>
                <w:sz w:val="18"/>
                <w:szCs w:val="18"/>
                <w:u w:val="single" w:color="auto"/>
                <w:color w:val="0000EE"/>
              </w:rPr>
            </w:pPr>
            <w:hyperlink r:id="rId202">
              <w:r>
                <w:rPr>
                  <w:rFonts w:ascii="Arial" w:cs="Arial" w:eastAsia="Arial" w:hAnsi="Arial"/>
                  <w:sz w:val="18"/>
                  <w:szCs w:val="18"/>
                  <w:u w:val="single" w:color="auto"/>
                  <w:color w:val="0000EE"/>
                </w:rPr>
                <w:t>under 2014 Stock Incentive Plan</w:t>
              </w:r>
            </w:hyperlink>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jc w:val="center"/>
              <w:spacing w:after="0"/>
              <w:rPr>
                <w:sz w:val="20"/>
                <w:szCs w:val="20"/>
                <w:color w:val="auto"/>
              </w:rPr>
            </w:pPr>
            <w:r>
              <w:rPr>
                <w:rFonts w:ascii="Arial" w:cs="Arial" w:eastAsia="Arial" w:hAnsi="Arial"/>
                <w:sz w:val="18"/>
                <w:szCs w:val="18"/>
                <w:color w:val="auto"/>
                <w:w w:val="87"/>
              </w:rPr>
              <w:t>10.8+</w:t>
            </w:r>
          </w:p>
        </w:tc>
        <w:tc>
          <w:tcPr>
            <w:tcW w:w="140" w:type="dxa"/>
            <w:vAlign w:val="bottom"/>
          </w:tcPr>
          <w:p>
            <w:pPr>
              <w:spacing w:after="0"/>
              <w:rPr>
                <w:sz w:val="24"/>
                <w:szCs w:val="24"/>
                <w:color w:val="auto"/>
              </w:rPr>
            </w:pPr>
          </w:p>
        </w:tc>
        <w:tc>
          <w:tcPr>
            <w:tcW w:w="3200" w:type="dxa"/>
            <w:vAlign w:val="bottom"/>
            <w:gridSpan w:val="23"/>
          </w:tcPr>
          <w:p>
            <w:pPr>
              <w:spacing w:after="0"/>
              <w:rPr>
                <w:rFonts w:ascii="Arial" w:cs="Arial" w:eastAsia="Arial" w:hAnsi="Arial"/>
                <w:sz w:val="18"/>
                <w:szCs w:val="18"/>
                <w:u w:val="single" w:color="auto"/>
                <w:color w:val="0000EE"/>
              </w:rPr>
            </w:pPr>
            <w:hyperlink r:id="rId203">
              <w:r>
                <w:rPr>
                  <w:rFonts w:ascii="Arial" w:cs="Arial" w:eastAsia="Arial" w:hAnsi="Arial"/>
                  <w:sz w:val="18"/>
                  <w:szCs w:val="18"/>
                  <w:u w:val="single" w:color="auto"/>
                  <w:color w:val="0000EE"/>
                </w:rPr>
                <w:t>2019 Inducement Stock Incentive Plan</w:t>
              </w:r>
            </w:hyperlink>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001-036554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11/12/2019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tcPr>
          <w:p>
            <w:pPr>
              <w:jc w:val="center"/>
              <w:spacing w:after="0"/>
              <w:rPr>
                <w:sz w:val="20"/>
                <w:szCs w:val="20"/>
                <w:color w:val="auto"/>
              </w:rPr>
            </w:pPr>
            <w:r>
              <w:rPr>
                <w:rFonts w:ascii="Arial" w:cs="Arial" w:eastAsia="Arial" w:hAnsi="Arial"/>
                <w:sz w:val="18"/>
                <w:szCs w:val="18"/>
                <w:color w:val="auto"/>
                <w:w w:val="87"/>
              </w:rPr>
              <w:t>10.9+</w:t>
            </w:r>
          </w:p>
        </w:tc>
        <w:tc>
          <w:tcPr>
            <w:tcW w:w="140" w:type="dxa"/>
            <w:vAlign w:val="bottom"/>
          </w:tcPr>
          <w:p>
            <w:pPr>
              <w:spacing w:after="0"/>
              <w:rPr>
                <w:sz w:val="24"/>
                <w:szCs w:val="24"/>
                <w:color w:val="auto"/>
              </w:rPr>
            </w:pPr>
          </w:p>
        </w:tc>
        <w:tc>
          <w:tcPr>
            <w:tcW w:w="3200" w:type="dxa"/>
            <w:vAlign w:val="bottom"/>
            <w:gridSpan w:val="23"/>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Amendment to 2019 Inducement Stock</w:t>
              </w:r>
            </w:hyperlink>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93">
              <w:r>
                <w:rPr>
                  <w:rFonts w:ascii="Arial" w:cs="Arial" w:eastAsia="Arial" w:hAnsi="Arial"/>
                  <w:sz w:val="18"/>
                  <w:szCs w:val="18"/>
                  <w:color w:val="0000EE"/>
                  <w:w w:val="90"/>
                </w:rPr>
                <w:t>Incentive Plan</w:t>
              </w:r>
            </w:hyperlink>
          </w:p>
        </w:tc>
        <w:tc>
          <w:tcPr>
            <w:tcW w:w="1780" w:type="dxa"/>
            <w:vAlign w:val="bottom"/>
            <w:tcBorders>
              <w:top w:val="single" w:sz="8" w:color="0000EE"/>
            </w:tcBorders>
            <w:gridSpan w:val="12"/>
          </w:tcPr>
          <w:p>
            <w:pPr>
              <w:spacing w:after="0"/>
              <w:rPr>
                <w:sz w:val="17"/>
                <w:szCs w:val="17"/>
                <w:color w:val="auto"/>
              </w:rPr>
            </w:pPr>
          </w:p>
        </w:tc>
        <w:tc>
          <w:tcPr>
            <w:tcW w:w="3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76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40" w:type="dxa"/>
            <w:vAlign w:val="bottom"/>
          </w:tcPr>
          <w:p>
            <w:pPr>
              <w:spacing w:after="0"/>
              <w:rPr>
                <w:sz w:val="24"/>
                <w:szCs w:val="24"/>
                <w:color w:val="auto"/>
              </w:rPr>
            </w:pPr>
          </w:p>
        </w:tc>
        <w:tc>
          <w:tcPr>
            <w:tcW w:w="3200" w:type="dxa"/>
            <w:vAlign w:val="bottom"/>
            <w:gridSpan w:val="23"/>
          </w:tcPr>
          <w:p>
            <w:pPr>
              <w:spacing w:after="0"/>
              <w:rPr>
                <w:rFonts w:ascii="Arial" w:cs="Arial" w:eastAsia="Arial" w:hAnsi="Arial"/>
                <w:sz w:val="18"/>
                <w:szCs w:val="18"/>
                <w:color w:val="0000EE"/>
              </w:rPr>
            </w:pPr>
            <w:hyperlink r:id="rId204">
              <w:r>
                <w:rPr>
                  <w:rFonts w:ascii="Arial" w:cs="Arial" w:eastAsia="Arial" w:hAnsi="Arial"/>
                  <w:sz w:val="18"/>
                  <w:szCs w:val="18"/>
                  <w:color w:val="0000EE"/>
                </w:rPr>
                <w:t>Form of Non-statutory Stock Option</w:t>
              </w:r>
            </w:hyperlink>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001-036554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11/12/2019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Agreement under 2019 Inducement</w:t>
              </w:r>
            </w:hyperlink>
          </w:p>
        </w:tc>
        <w:tc>
          <w:tcPr>
            <w:tcW w:w="40" w:type="dxa"/>
            <w:vAlign w:val="bottom"/>
            <w:tcBorders>
              <w:top w:val="single" w:sz="8" w:color="0000EE"/>
            </w:tcBorders>
          </w:tcPr>
          <w:p>
            <w:pPr>
              <w:spacing w:after="0"/>
              <w:rPr>
                <w:sz w:val="17"/>
                <w:szCs w:val="17"/>
                <w:color w:val="auto"/>
              </w:rPr>
            </w:pPr>
          </w:p>
        </w:tc>
        <w:tc>
          <w:tcPr>
            <w:tcW w:w="60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23"/>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Stock Incentive Plan</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10.11†</w:t>
            </w:r>
          </w:p>
        </w:tc>
        <w:tc>
          <w:tcPr>
            <w:tcW w:w="2280" w:type="dxa"/>
            <w:vAlign w:val="bottom"/>
            <w:tcBorders>
              <w:bottom w:val="single" w:sz="8" w:color="0000EE"/>
            </w:tcBorders>
            <w:gridSpan w:val="9"/>
          </w:tcPr>
          <w:p>
            <w:pPr>
              <w:spacing w:after="0"/>
              <w:rPr>
                <w:rFonts w:ascii="Arial" w:cs="Arial" w:eastAsia="Arial" w:hAnsi="Arial"/>
                <w:sz w:val="18"/>
                <w:szCs w:val="18"/>
                <w:color w:val="0000EE"/>
                <w:w w:val="88"/>
              </w:rPr>
            </w:pPr>
            <w:hyperlink r:id="rId205">
              <w:r>
                <w:rPr>
                  <w:rFonts w:ascii="Arial" w:cs="Arial" w:eastAsia="Arial" w:hAnsi="Arial"/>
                  <w:sz w:val="18"/>
                  <w:szCs w:val="18"/>
                  <w:color w:val="0000EE"/>
                  <w:w w:val="88"/>
                </w:rPr>
                <w:t>Amended and Restated License</w:t>
              </w:r>
            </w:hyperlink>
          </w:p>
        </w:tc>
        <w:tc>
          <w:tcPr>
            <w:tcW w:w="920" w:type="dxa"/>
            <w:vAlign w:val="bottom"/>
            <w:gridSpan w:val="14"/>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333-196932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6/20/2014</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23"/>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Agreement, dated January 27, 2012,</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12"/>
            <w:shd w:val="clear" w:color="auto" w:fill="0000EE"/>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23"/>
          </w:tcPr>
          <w:p>
            <w:pPr>
              <w:spacing w:after="0"/>
              <w:rPr>
                <w:rFonts w:ascii="Arial" w:cs="Arial" w:eastAsia="Arial" w:hAnsi="Arial"/>
                <w:sz w:val="18"/>
                <w:szCs w:val="18"/>
                <w:u w:val="single" w:color="auto"/>
                <w:color w:val="0000EE"/>
              </w:rPr>
            </w:pPr>
            <w:hyperlink r:id="rId205">
              <w:r>
                <w:rPr>
                  <w:rFonts w:ascii="Arial" w:cs="Arial" w:eastAsia="Arial" w:hAnsi="Arial"/>
                  <w:sz w:val="18"/>
                  <w:szCs w:val="18"/>
                  <w:u w:val="single" w:color="auto"/>
                  <w:color w:val="0000EE"/>
                </w:rPr>
                <w:t>between the Registrant and Incept LLC</w:t>
              </w:r>
            </w:hyperlink>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19"/>
        </w:trPr>
        <w:tc>
          <w:tcPr>
            <w:tcW w:w="9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2560" w:type="dxa"/>
            <w:vAlign w:val="bottom"/>
            <w:gridSpan w:val="29"/>
            <w:vMerge w:val="restart"/>
          </w:tcPr>
          <w:p>
            <w:pPr>
              <w:ind w:left="180"/>
              <w:spacing w:after="0"/>
              <w:rPr>
                <w:sz w:val="20"/>
                <w:szCs w:val="20"/>
                <w:color w:val="auto"/>
              </w:rPr>
            </w:pPr>
            <w:r>
              <w:rPr>
                <w:rFonts w:ascii="Arial" w:cs="Arial" w:eastAsia="Arial" w:hAnsi="Arial"/>
                <w:sz w:val="14"/>
                <w:szCs w:val="14"/>
                <w:b w:val="1"/>
                <w:bCs w:val="1"/>
                <w:color w:val="auto"/>
              </w:rPr>
              <w:t>Description of Exhibit</w:t>
            </w: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Form</w:t>
            </w:r>
          </w:p>
        </w:tc>
        <w:tc>
          <w:tcPr>
            <w:tcW w:w="15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File Number</w:t>
            </w:r>
          </w:p>
        </w:tc>
        <w:tc>
          <w:tcPr>
            <w:tcW w:w="10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Date of</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4"/>
                <w:szCs w:val="14"/>
                <w:color w:val="auto"/>
              </w:rPr>
            </w:pPr>
          </w:p>
        </w:tc>
        <w:tc>
          <w:tcPr>
            <w:tcW w:w="2560" w:type="dxa"/>
            <w:vAlign w:val="bottom"/>
            <w:gridSpan w:val="29"/>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Filing</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10.12</w:t>
            </w:r>
          </w:p>
        </w:tc>
        <w:tc>
          <w:tcPr>
            <w:tcW w:w="140" w:type="dxa"/>
            <w:vAlign w:val="bottom"/>
          </w:tcPr>
          <w:p>
            <w:pPr>
              <w:spacing w:after="0"/>
              <w:rPr>
                <w:sz w:val="14"/>
                <w:szCs w:val="14"/>
                <w:color w:val="auto"/>
              </w:rPr>
            </w:pPr>
          </w:p>
        </w:tc>
        <w:tc>
          <w:tcPr>
            <w:tcW w:w="2700" w:type="dxa"/>
            <w:vAlign w:val="bottom"/>
            <w:tcBorders>
              <w:top w:val="single" w:sz="8" w:color="auto"/>
              <w:bottom w:val="single" w:sz="8" w:color="0000EE"/>
            </w:tcBorders>
            <w:gridSpan w:val="16"/>
          </w:tcPr>
          <w:p>
            <w:pPr>
              <w:spacing w:after="0" w:line="169" w:lineRule="exact"/>
              <w:rPr>
                <w:rFonts w:ascii="Arial" w:cs="Arial" w:eastAsia="Arial" w:hAnsi="Arial"/>
                <w:sz w:val="18"/>
                <w:szCs w:val="18"/>
                <w:color w:val="0000EE"/>
                <w:w w:val="87"/>
              </w:rPr>
            </w:pPr>
            <w:hyperlink r:id="rId207">
              <w:r>
                <w:rPr>
                  <w:rFonts w:ascii="Arial" w:cs="Arial" w:eastAsia="Arial" w:hAnsi="Arial"/>
                  <w:sz w:val="18"/>
                  <w:szCs w:val="18"/>
                  <w:color w:val="0000EE"/>
                  <w:w w:val="87"/>
                </w:rPr>
                <w:t>Lease Agreement dated September 2,</w:t>
              </w:r>
            </w:hyperlink>
          </w:p>
        </w:tc>
        <w:tc>
          <w:tcPr>
            <w:tcW w:w="320" w:type="dxa"/>
            <w:vAlign w:val="bottom"/>
            <w:tcBorders>
              <w:top w:val="single" w:sz="8" w:color="auto"/>
            </w:tcBorders>
            <w:gridSpan w:val="13"/>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5"/>
              </w:rPr>
              <w:t>S-1</w:t>
            </w:r>
          </w:p>
        </w:tc>
        <w:tc>
          <w:tcPr>
            <w:tcW w:w="220" w:type="dxa"/>
            <w:vAlign w:val="bottom"/>
          </w:tcPr>
          <w:p>
            <w:pPr>
              <w:spacing w:after="0"/>
              <w:rPr>
                <w:sz w:val="14"/>
                <w:szCs w:val="14"/>
                <w:color w:val="auto"/>
              </w:rPr>
            </w:pPr>
          </w:p>
        </w:tc>
        <w:tc>
          <w:tcPr>
            <w:tcW w:w="1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333-196932</w:t>
            </w:r>
          </w:p>
        </w:tc>
        <w:tc>
          <w:tcPr>
            <w:tcW w:w="140" w:type="dxa"/>
            <w:vAlign w:val="bottom"/>
          </w:tcPr>
          <w:p>
            <w:pPr>
              <w:spacing w:after="0"/>
              <w:rPr>
                <w:sz w:val="14"/>
                <w:szCs w:val="14"/>
                <w:color w:val="auto"/>
              </w:rPr>
            </w:pPr>
          </w:p>
        </w:tc>
        <w:tc>
          <w:tcPr>
            <w:tcW w:w="9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6/20/2014</w:t>
            </w:r>
          </w:p>
        </w:tc>
        <w:tc>
          <w:tcPr>
            <w:tcW w:w="140" w:type="dxa"/>
            <w:vAlign w:val="bottom"/>
          </w:tcPr>
          <w:p>
            <w:pPr>
              <w:spacing w:after="0"/>
              <w:rPr>
                <w:sz w:val="14"/>
                <w:szCs w:val="14"/>
                <w:color w:val="auto"/>
              </w:rPr>
            </w:pPr>
          </w:p>
        </w:tc>
        <w:tc>
          <w:tcPr>
            <w:tcW w:w="5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10.9</w:t>
            </w:r>
          </w:p>
        </w:tc>
        <w:tc>
          <w:tcPr>
            <w:tcW w:w="1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207">
              <w:r>
                <w:rPr>
                  <w:rFonts w:ascii="Arial" w:cs="Arial" w:eastAsia="Arial" w:hAnsi="Arial"/>
                  <w:sz w:val="18"/>
                  <w:szCs w:val="18"/>
                  <w:color w:val="0000EE"/>
                  <w:w w:val="88"/>
                </w:rPr>
                <w:t>2009, by and between the Registrant and</w:t>
              </w:r>
            </w:hyperlink>
          </w:p>
        </w:tc>
        <w:tc>
          <w:tcPr>
            <w:tcW w:w="2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RAR2-Crosby Corporate Center QRS,</w:t>
              </w:r>
            </w:hyperlink>
          </w:p>
        </w:tc>
        <w:tc>
          <w:tcPr>
            <w:tcW w:w="42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207">
              <w:r>
                <w:rPr>
                  <w:rFonts w:ascii="Arial" w:cs="Arial" w:eastAsia="Arial" w:hAnsi="Arial"/>
                  <w:sz w:val="18"/>
                  <w:szCs w:val="18"/>
                  <w:color w:val="0000EE"/>
                  <w:w w:val="86"/>
                </w:rPr>
                <w:t>Inc., as amended.</w:t>
              </w:r>
            </w:hyperlink>
          </w:p>
        </w:tc>
        <w:tc>
          <w:tcPr>
            <w:tcW w:w="1940" w:type="dxa"/>
            <w:vAlign w:val="bottom"/>
            <w:gridSpan w:val="28"/>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76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24"/>
                <w:szCs w:val="24"/>
                <w:color w:val="auto"/>
              </w:rPr>
            </w:pPr>
          </w:p>
        </w:tc>
        <w:tc>
          <w:tcPr>
            <w:tcW w:w="3200" w:type="dxa"/>
            <w:vAlign w:val="bottom"/>
            <w:gridSpan w:val="30"/>
          </w:tcPr>
          <w:p>
            <w:pPr>
              <w:spacing w:after="0"/>
              <w:rPr>
                <w:rFonts w:ascii="Arial" w:cs="Arial" w:eastAsia="Arial" w:hAnsi="Arial"/>
                <w:sz w:val="18"/>
                <w:szCs w:val="18"/>
                <w:u w:val="single" w:color="auto"/>
                <w:color w:val="0000EE"/>
              </w:rPr>
            </w:pPr>
            <w:hyperlink r:id="rId208">
              <w:r>
                <w:rPr>
                  <w:rFonts w:ascii="Arial" w:cs="Arial" w:eastAsia="Arial" w:hAnsi="Arial"/>
                  <w:sz w:val="18"/>
                  <w:szCs w:val="18"/>
                  <w:u w:val="single" w:color="auto"/>
                  <w:color w:val="0000EE"/>
                </w:rPr>
                <w:t>2014 Employee Stock Purchase Plan</w:t>
              </w:r>
            </w:hyperlink>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333-196932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7/11/2014</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40" w:type="dxa"/>
            <w:vAlign w:val="bottom"/>
          </w:tcPr>
          <w:p>
            <w:pPr>
              <w:spacing w:after="0"/>
              <w:rPr>
                <w:sz w:val="24"/>
                <w:szCs w:val="24"/>
                <w:color w:val="auto"/>
              </w:rPr>
            </w:pPr>
          </w:p>
        </w:tc>
        <w:tc>
          <w:tcPr>
            <w:tcW w:w="2860" w:type="dxa"/>
            <w:vAlign w:val="bottom"/>
            <w:tcBorders>
              <w:bottom w:val="single" w:sz="8" w:color="0000EE"/>
            </w:tcBorders>
            <w:gridSpan w:val="23"/>
          </w:tcPr>
          <w:p>
            <w:pPr>
              <w:spacing w:after="0"/>
              <w:rPr>
                <w:rFonts w:ascii="Arial" w:cs="Arial" w:eastAsia="Arial" w:hAnsi="Arial"/>
                <w:sz w:val="18"/>
                <w:szCs w:val="18"/>
                <w:color w:val="0000EE"/>
                <w:w w:val="93"/>
              </w:rPr>
            </w:pPr>
            <w:hyperlink r:id="rId209">
              <w:r>
                <w:rPr>
                  <w:rFonts w:ascii="Arial" w:cs="Arial" w:eastAsia="Arial" w:hAnsi="Arial"/>
                  <w:sz w:val="18"/>
                  <w:szCs w:val="18"/>
                  <w:color w:val="0000EE"/>
                  <w:w w:val="93"/>
                </w:rPr>
                <w:t>Form of Indemnification Agreement by</w:t>
              </w:r>
            </w:hyperlink>
          </w:p>
        </w:tc>
        <w:tc>
          <w:tcPr>
            <w:tcW w:w="340" w:type="dxa"/>
            <w:vAlign w:val="bottom"/>
            <w:gridSpan w:val="7"/>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333-196932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6/20/2014</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0"/>
          </w:tcPr>
          <w:p>
            <w:pPr>
              <w:spacing w:after="0" w:line="196" w:lineRule="exact"/>
              <w:rPr>
                <w:rFonts w:ascii="Arial" w:cs="Arial" w:eastAsia="Arial" w:hAnsi="Arial"/>
                <w:sz w:val="18"/>
                <w:szCs w:val="18"/>
                <w:color w:val="0000EE"/>
                <w:w w:val="99"/>
              </w:rPr>
            </w:pPr>
            <w:hyperlink r:id="rId209">
              <w:r>
                <w:rPr>
                  <w:rFonts w:ascii="Arial" w:cs="Arial" w:eastAsia="Arial" w:hAnsi="Arial"/>
                  <w:sz w:val="18"/>
                  <w:szCs w:val="18"/>
                  <w:color w:val="0000EE"/>
                  <w:w w:val="99"/>
                </w:rPr>
                <w:t>and between the Registrant and each of</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tcBorders>
              <w:top w:val="single" w:sz="8" w:color="0000EE"/>
            </w:tcBorders>
            <w:gridSpan w:val="21"/>
          </w:tcPr>
          <w:p>
            <w:pPr>
              <w:spacing w:after="0"/>
              <w:rPr>
                <w:rFonts w:ascii="Arial" w:cs="Arial" w:eastAsia="Arial" w:hAnsi="Arial"/>
                <w:sz w:val="18"/>
                <w:szCs w:val="18"/>
                <w:u w:val="single" w:color="auto"/>
                <w:color w:val="0000EE"/>
              </w:rPr>
            </w:pPr>
            <w:hyperlink r:id="rId209">
              <w:r>
                <w:rPr>
                  <w:rFonts w:ascii="Arial" w:cs="Arial" w:eastAsia="Arial" w:hAnsi="Arial"/>
                  <w:sz w:val="18"/>
                  <w:szCs w:val="18"/>
                  <w:u w:val="single" w:color="auto"/>
                  <w:color w:val="0000EE"/>
                </w:rPr>
                <w:t>its directors and executive officers</w:t>
              </w:r>
            </w:hyperlink>
          </w:p>
        </w:tc>
        <w:tc>
          <w:tcPr>
            <w:tcW w:w="380" w:type="dxa"/>
            <w:vAlign w:val="bottom"/>
            <w:gridSpan w:val="9"/>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40" w:type="dxa"/>
            <w:vAlign w:val="bottom"/>
          </w:tcPr>
          <w:p>
            <w:pPr>
              <w:spacing w:after="0"/>
              <w:rPr>
                <w:sz w:val="24"/>
                <w:szCs w:val="24"/>
                <w:color w:val="auto"/>
              </w:rPr>
            </w:pPr>
          </w:p>
        </w:tc>
        <w:tc>
          <w:tcPr>
            <w:tcW w:w="2700" w:type="dxa"/>
            <w:vAlign w:val="bottom"/>
            <w:tcBorders>
              <w:bottom w:val="single" w:sz="8" w:color="0000EE"/>
            </w:tcBorders>
            <w:gridSpan w:val="16"/>
          </w:tcPr>
          <w:p>
            <w:pPr>
              <w:spacing w:after="0"/>
              <w:rPr>
                <w:rFonts w:ascii="Arial" w:cs="Arial" w:eastAsia="Arial" w:hAnsi="Arial"/>
                <w:sz w:val="18"/>
                <w:szCs w:val="18"/>
                <w:color w:val="0000EE"/>
                <w:w w:val="88"/>
              </w:rPr>
            </w:pPr>
            <w:hyperlink r:id="rId210">
              <w:r>
                <w:rPr>
                  <w:rFonts w:ascii="Arial" w:cs="Arial" w:eastAsia="Arial" w:hAnsi="Arial"/>
                  <w:sz w:val="18"/>
                  <w:szCs w:val="18"/>
                  <w:color w:val="0000EE"/>
                  <w:w w:val="88"/>
                </w:rPr>
                <w:t>Transition, Separation and Release of</w:t>
              </w:r>
            </w:hyperlink>
          </w:p>
        </w:tc>
        <w:tc>
          <w:tcPr>
            <w:tcW w:w="500" w:type="dxa"/>
            <w:vAlign w:val="bottom"/>
            <w:gridSpan w:val="14"/>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5/30/2019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Claims Agreement by and between the</w:t>
              </w:r>
            </w:hyperlink>
          </w:p>
        </w:tc>
        <w:tc>
          <w:tcPr>
            <w:tcW w:w="40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Registrant and Dr. Amarpreet S.</w:t>
              </w:r>
            </w:hyperlink>
          </w:p>
        </w:tc>
        <w:tc>
          <w:tcPr>
            <w:tcW w:w="880" w:type="dxa"/>
            <w:vAlign w:val="bottom"/>
            <w:gridSpan w:val="21"/>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30"/>
          </w:tcPr>
          <w:p>
            <w:pPr>
              <w:spacing w:after="0"/>
              <w:rPr>
                <w:rFonts w:ascii="Arial" w:cs="Arial" w:eastAsia="Arial" w:hAnsi="Arial"/>
                <w:sz w:val="18"/>
                <w:szCs w:val="18"/>
                <w:u w:val="single" w:color="auto"/>
                <w:color w:val="0000EE"/>
              </w:rPr>
            </w:pPr>
            <w:hyperlink r:id="rId210">
              <w:r>
                <w:rPr>
                  <w:rFonts w:ascii="Arial" w:cs="Arial" w:eastAsia="Arial" w:hAnsi="Arial"/>
                  <w:sz w:val="18"/>
                  <w:szCs w:val="18"/>
                  <w:u w:val="single" w:color="auto"/>
                  <w:color w:val="0000EE"/>
                </w:rPr>
                <w:t>Sawhney dated as of May 29, 2019</w:t>
              </w:r>
            </w:hyperlink>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40" w:type="dxa"/>
            <w:vAlign w:val="bottom"/>
          </w:tcPr>
          <w:p>
            <w:pPr>
              <w:spacing w:after="0"/>
              <w:rPr>
                <w:sz w:val="24"/>
                <w:szCs w:val="24"/>
                <w:color w:val="auto"/>
              </w:rPr>
            </w:pPr>
          </w:p>
        </w:tc>
        <w:tc>
          <w:tcPr>
            <w:tcW w:w="2760" w:type="dxa"/>
            <w:vAlign w:val="bottom"/>
            <w:tcBorders>
              <w:bottom w:val="single" w:sz="8" w:color="0000EE"/>
            </w:tcBorders>
            <w:gridSpan w:val="18"/>
          </w:tcPr>
          <w:p>
            <w:pPr>
              <w:spacing w:after="0"/>
              <w:rPr>
                <w:rFonts w:ascii="Arial" w:cs="Arial" w:eastAsia="Arial" w:hAnsi="Arial"/>
                <w:sz w:val="18"/>
                <w:szCs w:val="18"/>
                <w:color w:val="0000EE"/>
                <w:w w:val="88"/>
              </w:rPr>
            </w:pPr>
            <w:hyperlink r:id="rId211">
              <w:r>
                <w:rPr>
                  <w:rFonts w:ascii="Arial" w:cs="Arial" w:eastAsia="Arial" w:hAnsi="Arial"/>
                  <w:sz w:val="18"/>
                  <w:szCs w:val="18"/>
                  <w:color w:val="0000EE"/>
                  <w:w w:val="88"/>
                </w:rPr>
                <w:t>Lease Agreement dated June 17, 2016</w:t>
              </w:r>
            </w:hyperlink>
          </w:p>
        </w:tc>
        <w:tc>
          <w:tcPr>
            <w:tcW w:w="440" w:type="dxa"/>
            <w:vAlign w:val="bottom"/>
            <w:gridSpan w:val="12"/>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8/9/2016</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0"/>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between the WS NF 15 Crosby Drive,</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LLC and the Registrant</w:t>
              </w:r>
            </w:hyperlink>
          </w:p>
        </w:tc>
        <w:tc>
          <w:tcPr>
            <w:tcW w:w="1040" w:type="dxa"/>
            <w:vAlign w:val="bottom"/>
            <w:tcBorders>
              <w:top w:val="single" w:sz="8" w:color="0000EE"/>
            </w:tcBorders>
            <w:gridSpan w:val="13"/>
          </w:tcPr>
          <w:p>
            <w:pPr>
              <w:spacing w:after="0"/>
              <w:rPr>
                <w:sz w:val="17"/>
                <w:szCs w:val="17"/>
                <w:color w:val="auto"/>
              </w:rPr>
            </w:pPr>
          </w:p>
        </w:tc>
        <w:tc>
          <w:tcPr>
            <w:tcW w:w="46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10.17†</w:t>
            </w:r>
          </w:p>
        </w:tc>
        <w:tc>
          <w:tcPr>
            <w:tcW w:w="2500" w:type="dxa"/>
            <w:vAlign w:val="bottom"/>
            <w:tcBorders>
              <w:bottom w:val="single" w:sz="8" w:color="0000EE"/>
            </w:tcBorders>
            <w:gridSpan w:val="13"/>
          </w:tcPr>
          <w:p>
            <w:pPr>
              <w:spacing w:after="0"/>
              <w:rPr>
                <w:rFonts w:ascii="Arial" w:cs="Arial" w:eastAsia="Arial" w:hAnsi="Arial"/>
                <w:sz w:val="18"/>
                <w:szCs w:val="18"/>
                <w:color w:val="0000EE"/>
                <w:w w:val="91"/>
              </w:rPr>
            </w:pPr>
            <w:hyperlink r:id="rId212">
              <w:r>
                <w:rPr>
                  <w:rFonts w:ascii="Arial" w:cs="Arial" w:eastAsia="Arial" w:hAnsi="Arial"/>
                  <w:sz w:val="18"/>
                  <w:szCs w:val="18"/>
                  <w:color w:val="0000EE"/>
                  <w:w w:val="91"/>
                </w:rPr>
                <w:t>Collaboration, Option and License</w:t>
              </w:r>
            </w:hyperlink>
          </w:p>
        </w:tc>
        <w:tc>
          <w:tcPr>
            <w:tcW w:w="700" w:type="dxa"/>
            <w:vAlign w:val="bottom"/>
            <w:gridSpan w:val="17"/>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11/9/2016</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r:id="rId212">
              <w:r>
                <w:rPr>
                  <w:rFonts w:ascii="Arial" w:cs="Arial" w:eastAsia="Arial" w:hAnsi="Arial"/>
                  <w:sz w:val="18"/>
                  <w:szCs w:val="18"/>
                  <w:color w:val="0000EE"/>
                  <w:w w:val="88"/>
                </w:rPr>
                <w:t>Agreement between the Registrant and</w:t>
              </w:r>
            </w:hyperlink>
          </w:p>
        </w:tc>
        <w:tc>
          <w:tcPr>
            <w:tcW w:w="40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0"/>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Regeneron Pharmaceuticals, Inc. dated</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212">
              <w:r>
                <w:rPr>
                  <w:rFonts w:ascii="Arial" w:cs="Arial" w:eastAsia="Arial" w:hAnsi="Arial"/>
                  <w:sz w:val="18"/>
                  <w:szCs w:val="18"/>
                  <w:color w:val="0000EE"/>
                  <w:w w:val="89"/>
                </w:rPr>
                <w:t>October 10, 2016</w:t>
              </w:r>
            </w:hyperlink>
          </w:p>
        </w:tc>
        <w:tc>
          <w:tcPr>
            <w:tcW w:w="1540" w:type="dxa"/>
            <w:vAlign w:val="bottom"/>
            <w:tcBorders>
              <w:top w:val="single" w:sz="8" w:color="0000EE"/>
            </w:tcBorders>
            <w:gridSpan w:val="18"/>
          </w:tcPr>
          <w:p>
            <w:pPr>
              <w:spacing w:after="0"/>
              <w:rPr>
                <w:sz w:val="17"/>
                <w:szCs w:val="17"/>
                <w:color w:val="auto"/>
              </w:rPr>
            </w:pPr>
          </w:p>
        </w:tc>
        <w:tc>
          <w:tcPr>
            <w:tcW w:w="40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88"/>
              </w:rPr>
              <w:t>10.18</w:t>
            </w:r>
          </w:p>
        </w:tc>
        <w:tc>
          <w:tcPr>
            <w:tcW w:w="140" w:type="dxa"/>
            <w:vAlign w:val="bottom"/>
          </w:tcPr>
          <w:p>
            <w:pPr>
              <w:spacing w:after="0"/>
              <w:rPr>
                <w:sz w:val="24"/>
                <w:szCs w:val="24"/>
                <w:color w:val="auto"/>
              </w:rPr>
            </w:pPr>
          </w:p>
        </w:tc>
        <w:tc>
          <w:tcPr>
            <w:tcW w:w="2220" w:type="dxa"/>
            <w:vAlign w:val="bottom"/>
            <w:gridSpan w:val="7"/>
            <w:vMerge w:val="restart"/>
          </w:tcPr>
          <w:p>
            <w:pPr>
              <w:spacing w:after="0"/>
              <w:rPr>
                <w:rFonts w:ascii="Arial" w:cs="Arial" w:eastAsia="Arial" w:hAnsi="Arial"/>
                <w:sz w:val="18"/>
                <w:szCs w:val="18"/>
                <w:color w:val="0000EE"/>
                <w:w w:val="89"/>
              </w:rPr>
            </w:pPr>
            <w:hyperlink r:id="rId213">
              <w:r>
                <w:rPr>
                  <w:rFonts w:ascii="Arial" w:cs="Arial" w:eastAsia="Arial" w:hAnsi="Arial"/>
                  <w:sz w:val="18"/>
                  <w:szCs w:val="18"/>
                  <w:color w:val="0000EE"/>
                  <w:w w:val="89"/>
                </w:rPr>
                <w:t>Open Market Sales Agreement</w:t>
              </w:r>
            </w:hyperlink>
          </w:p>
        </w:tc>
        <w:tc>
          <w:tcPr>
            <w:tcW w:w="200" w:type="dxa"/>
            <w:vAlign w:val="bottom"/>
            <w:tcBorders>
              <w:bottom w:val="single" w:sz="8" w:color="0000EE"/>
            </w:tcBorders>
            <w:gridSpan w:val="4"/>
          </w:tcPr>
          <w:p>
            <w:pPr>
              <w:spacing w:after="0"/>
              <w:rPr>
                <w:rFonts w:ascii="Arial" w:cs="Arial" w:eastAsia="Arial" w:hAnsi="Arial"/>
                <w:sz w:val="13"/>
                <w:szCs w:val="13"/>
                <w:color w:val="0000EE"/>
                <w:w w:val="92"/>
              </w:rPr>
            </w:pPr>
            <w:hyperlink r:id="rId213">
              <w:r>
                <w:rPr>
                  <w:rFonts w:ascii="Arial" w:cs="Arial" w:eastAsia="Arial" w:hAnsi="Arial"/>
                  <w:sz w:val="13"/>
                  <w:szCs w:val="13"/>
                  <w:color w:val="0000EE"/>
                  <w:w w:val="92"/>
                </w:rPr>
                <w:t>SM</w:t>
              </w:r>
            </w:hyperlink>
          </w:p>
        </w:tc>
        <w:tc>
          <w:tcPr>
            <w:tcW w:w="480" w:type="dxa"/>
            <w:vAlign w:val="bottom"/>
            <w:gridSpan w:val="13"/>
            <w:vMerge w:val="restart"/>
          </w:tcPr>
          <w:p>
            <w:pPr>
              <w:spacing w:after="0"/>
              <w:rPr>
                <w:rFonts w:ascii="Arial" w:cs="Arial" w:eastAsia="Arial" w:hAnsi="Arial"/>
                <w:sz w:val="18"/>
                <w:szCs w:val="18"/>
                <w:color w:val="0000EE"/>
                <w:w w:val="83"/>
              </w:rPr>
            </w:pPr>
            <w:hyperlink r:id="rId213">
              <w:r>
                <w:rPr>
                  <w:rFonts w:ascii="Arial" w:cs="Arial" w:eastAsia="Arial" w:hAnsi="Arial"/>
                  <w:sz w:val="18"/>
                  <w:szCs w:val="18"/>
                  <w:color w:val="0000EE"/>
                  <w:w w:val="83"/>
                </w:rPr>
                <w:t>, dated</w:t>
              </w:r>
            </w:hyperlink>
          </w:p>
        </w:tc>
        <w:tc>
          <w:tcPr>
            <w:tcW w:w="300" w:type="dxa"/>
            <w:vAlign w:val="bottom"/>
            <w:gridSpan w:val="6"/>
            <w:vMerge w:val="restart"/>
          </w:tcPr>
          <w:p>
            <w:pPr>
              <w:spacing w:after="0"/>
              <w:rPr>
                <w:sz w:val="24"/>
                <w:szCs w:val="2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8-K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4/5/2019</w:t>
            </w:r>
          </w:p>
        </w:tc>
        <w:tc>
          <w:tcPr>
            <w:tcW w:w="14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7"/>
              </w:rPr>
              <w:t>1.1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7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Borders>
              <w:bottom w:val="single" w:sz="8" w:color="0000EE"/>
            </w:tcBorders>
            <w:gridSpan w:val="7"/>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gridSpan w:val="13"/>
            <w:vMerge w:val="continue"/>
          </w:tcPr>
          <w:p>
            <w:pPr>
              <w:spacing w:after="0"/>
              <w:rPr>
                <w:sz w:val="2"/>
                <w:szCs w:val="2"/>
                <w:color w:val="auto"/>
              </w:rPr>
            </w:pPr>
          </w:p>
        </w:tc>
        <w:tc>
          <w:tcPr>
            <w:tcW w:w="300" w:type="dxa"/>
            <w:vAlign w:val="bottom"/>
            <w:gridSpan w:val="6"/>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as of April 5, 2019, by and between the</w:t>
              </w:r>
            </w:hyperlink>
          </w:p>
        </w:tc>
        <w:tc>
          <w:tcPr>
            <w:tcW w:w="36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30"/>
          </w:tcPr>
          <w:p>
            <w:pPr>
              <w:spacing w:after="0"/>
              <w:rPr>
                <w:rFonts w:ascii="Arial" w:cs="Arial" w:eastAsia="Arial" w:hAnsi="Arial"/>
                <w:sz w:val="18"/>
                <w:szCs w:val="18"/>
                <w:u w:val="single" w:color="auto"/>
                <w:color w:val="0000EE"/>
              </w:rPr>
            </w:pPr>
            <w:hyperlink r:id="rId213">
              <w:r>
                <w:rPr>
                  <w:rFonts w:ascii="Arial" w:cs="Arial" w:eastAsia="Arial" w:hAnsi="Arial"/>
                  <w:sz w:val="18"/>
                  <w:szCs w:val="18"/>
                  <w:u w:val="single" w:color="auto"/>
                  <w:color w:val="0000EE"/>
                </w:rPr>
                <w:t>Registrant and Jefferies LLC</w:t>
              </w:r>
            </w:hyperlink>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40" w:type="dxa"/>
            <w:vAlign w:val="bottom"/>
          </w:tcPr>
          <w:p>
            <w:pPr>
              <w:spacing w:after="0"/>
              <w:rPr>
                <w:sz w:val="24"/>
                <w:szCs w:val="24"/>
                <w:color w:val="auto"/>
              </w:rPr>
            </w:pPr>
          </w:p>
        </w:tc>
        <w:tc>
          <w:tcPr>
            <w:tcW w:w="300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194">
              <w:r>
                <w:rPr>
                  <w:rFonts w:ascii="Arial" w:cs="Arial" w:eastAsia="Arial" w:hAnsi="Arial"/>
                  <w:sz w:val="18"/>
                  <w:szCs w:val="18"/>
                  <w:color w:val="0000EE"/>
                  <w:w w:val="90"/>
                </w:rPr>
                <w:t>Employment Agreement, by and between</w:t>
              </w:r>
            </w:hyperlink>
          </w:p>
        </w:tc>
        <w:tc>
          <w:tcPr>
            <w:tcW w:w="20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0"/>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the Registrant and Philip Strassburger,</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dated August 28, 2020</w:t>
              </w:r>
            </w:hyperlink>
          </w:p>
        </w:tc>
        <w:tc>
          <w:tcPr>
            <w:tcW w:w="44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40" w:type="dxa"/>
            <w:vAlign w:val="bottom"/>
          </w:tcPr>
          <w:p>
            <w:pPr>
              <w:spacing w:after="0"/>
              <w:rPr>
                <w:sz w:val="24"/>
                <w:szCs w:val="24"/>
                <w:color w:val="auto"/>
              </w:rPr>
            </w:pPr>
          </w:p>
        </w:tc>
        <w:tc>
          <w:tcPr>
            <w:tcW w:w="3200" w:type="dxa"/>
            <w:vAlign w:val="bottom"/>
            <w:gridSpan w:val="30"/>
          </w:tcPr>
          <w:p>
            <w:pPr>
              <w:spacing w:after="0"/>
              <w:rPr>
                <w:rFonts w:ascii="Arial" w:cs="Arial" w:eastAsia="Arial" w:hAnsi="Arial"/>
                <w:sz w:val="18"/>
                <w:szCs w:val="18"/>
                <w:color w:val="0000EE"/>
              </w:rPr>
            </w:pPr>
            <w:hyperlink r:id="rId214">
              <w:r>
                <w:rPr>
                  <w:rFonts w:ascii="Arial" w:cs="Arial" w:eastAsia="Arial" w:hAnsi="Arial"/>
                  <w:sz w:val="18"/>
                  <w:szCs w:val="18"/>
                  <w:color w:val="0000EE"/>
                </w:rPr>
                <w:t>Consulting Agreement by and between</w:t>
              </w:r>
            </w:hyperlink>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5/30/2019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top w:val="single" w:sz="8" w:color="0000EE"/>
            </w:tcBorders>
            <w:gridSpan w:val="20"/>
          </w:tcPr>
          <w:p>
            <w:pPr>
              <w:spacing w:after="0" w:line="196" w:lineRule="exact"/>
              <w:rPr>
                <w:rFonts w:ascii="Arial" w:cs="Arial" w:eastAsia="Arial" w:hAnsi="Arial"/>
                <w:sz w:val="18"/>
                <w:szCs w:val="18"/>
                <w:color w:val="0000EE"/>
                <w:w w:val="96"/>
              </w:rPr>
            </w:pPr>
            <w:hyperlink r:id="rId214">
              <w:r>
                <w:rPr>
                  <w:rFonts w:ascii="Arial" w:cs="Arial" w:eastAsia="Arial" w:hAnsi="Arial"/>
                  <w:sz w:val="18"/>
                  <w:szCs w:val="18"/>
                  <w:color w:val="0000EE"/>
                  <w:w w:val="96"/>
                </w:rPr>
                <w:t>the Registrant and Dr. Amarpreet S.</w:t>
              </w:r>
            </w:hyperlink>
          </w:p>
        </w:tc>
        <w:tc>
          <w:tcPr>
            <w:tcW w:w="40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tcBorders>
              <w:top w:val="single" w:sz="8" w:color="0000EE"/>
            </w:tcBorders>
            <w:gridSpan w:val="14"/>
          </w:tcPr>
          <w:p>
            <w:pPr>
              <w:spacing w:after="0"/>
              <w:rPr>
                <w:rFonts w:ascii="Arial" w:cs="Arial" w:eastAsia="Arial" w:hAnsi="Arial"/>
                <w:sz w:val="18"/>
                <w:szCs w:val="18"/>
                <w:u w:val="single" w:color="auto"/>
                <w:color w:val="0000EE"/>
                <w:w w:val="89"/>
              </w:rPr>
            </w:pPr>
            <w:hyperlink r:id="rId214">
              <w:r>
                <w:rPr>
                  <w:rFonts w:ascii="Arial" w:cs="Arial" w:eastAsia="Arial" w:hAnsi="Arial"/>
                  <w:sz w:val="18"/>
                  <w:szCs w:val="18"/>
                  <w:u w:val="single" w:color="auto"/>
                  <w:color w:val="0000EE"/>
                  <w:w w:val="89"/>
                </w:rPr>
                <w:t>Sawhney, dated as of May 29, 2019</w:t>
              </w:r>
            </w:hyperlink>
          </w:p>
        </w:tc>
        <w:tc>
          <w:tcPr>
            <w:tcW w:w="620" w:type="dxa"/>
            <w:vAlign w:val="bottom"/>
            <w:gridSpan w:val="16"/>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40" w:type="dxa"/>
            <w:vAlign w:val="bottom"/>
          </w:tcPr>
          <w:p>
            <w:pPr>
              <w:spacing w:after="0"/>
              <w:rPr>
                <w:sz w:val="24"/>
                <w:szCs w:val="24"/>
                <w:color w:val="auto"/>
              </w:rPr>
            </w:pPr>
          </w:p>
        </w:tc>
        <w:tc>
          <w:tcPr>
            <w:tcW w:w="3000" w:type="dxa"/>
            <w:vAlign w:val="bottom"/>
            <w:tcBorders>
              <w:bottom w:val="single" w:sz="8" w:color="0000EE"/>
            </w:tcBorders>
            <w:gridSpan w:val="28"/>
          </w:tcPr>
          <w:p>
            <w:pPr>
              <w:spacing w:after="0"/>
              <w:rPr>
                <w:rFonts w:ascii="Arial" w:cs="Arial" w:eastAsia="Arial" w:hAnsi="Arial"/>
                <w:sz w:val="18"/>
                <w:szCs w:val="18"/>
                <w:color w:val="0000EE"/>
                <w:w w:val="90"/>
              </w:rPr>
            </w:pPr>
            <w:hyperlink r:id="rId215">
              <w:r>
                <w:rPr>
                  <w:rFonts w:ascii="Arial" w:cs="Arial" w:eastAsia="Arial" w:hAnsi="Arial"/>
                  <w:sz w:val="18"/>
                  <w:szCs w:val="18"/>
                  <w:color w:val="0000EE"/>
                  <w:w w:val="90"/>
                </w:rPr>
                <w:t>Employment Agreement, by and between</w:t>
              </w:r>
            </w:hyperlink>
          </w:p>
        </w:tc>
        <w:tc>
          <w:tcPr>
            <w:tcW w:w="200" w:type="dxa"/>
            <w:vAlign w:val="bottom"/>
            <w:gridSpan w:val="2"/>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6/22/2017</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215">
              <w:r>
                <w:rPr>
                  <w:rFonts w:ascii="Arial" w:cs="Arial" w:eastAsia="Arial" w:hAnsi="Arial"/>
                  <w:sz w:val="18"/>
                  <w:szCs w:val="18"/>
                  <w:color w:val="0000EE"/>
                  <w:w w:val="90"/>
                </w:rPr>
                <w:t>the Registrant and Antony C. Mattessich,</w:t>
              </w:r>
            </w:hyperlink>
          </w:p>
        </w:tc>
        <w:tc>
          <w:tcPr>
            <w:tcW w:w="22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0"/>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dated as of June 20, 2017</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6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24"/>
                <w:szCs w:val="24"/>
                <w:color w:val="auto"/>
              </w:rPr>
            </w:pPr>
          </w:p>
        </w:tc>
        <w:tc>
          <w:tcPr>
            <w:tcW w:w="2920" w:type="dxa"/>
            <w:vAlign w:val="bottom"/>
            <w:tcBorders>
              <w:bottom w:val="single" w:sz="8" w:color="0000EE"/>
            </w:tcBorders>
            <w:gridSpan w:val="25"/>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Non-Statutory Stock Option Agreement,</w:t>
              </w:r>
            </w:hyperlink>
          </w:p>
        </w:tc>
        <w:tc>
          <w:tcPr>
            <w:tcW w:w="280" w:type="dxa"/>
            <w:vAlign w:val="bottom"/>
            <w:gridSpan w:val="5"/>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6/22/2017</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0"/>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by and between the Registrant and</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0"/>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Antony C. Mattessich dated as of June</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216">
              <w:r>
                <w:rPr>
                  <w:rFonts w:ascii="Arial" w:cs="Arial" w:eastAsia="Arial" w:hAnsi="Arial"/>
                  <w:sz w:val="18"/>
                  <w:szCs w:val="18"/>
                  <w:color w:val="0000EE"/>
                  <w:w w:val="88"/>
                </w:rPr>
                <w:t>20, 2017</w:t>
              </w:r>
            </w:hyperlink>
          </w:p>
        </w:tc>
        <w:tc>
          <w:tcPr>
            <w:tcW w:w="6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76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140" w:type="dxa"/>
            <w:vAlign w:val="bottom"/>
          </w:tcPr>
          <w:p>
            <w:pPr>
              <w:spacing w:after="0"/>
              <w:rPr>
                <w:sz w:val="24"/>
                <w:szCs w:val="24"/>
                <w:color w:val="auto"/>
              </w:rPr>
            </w:pPr>
          </w:p>
        </w:tc>
        <w:tc>
          <w:tcPr>
            <w:tcW w:w="3000" w:type="dxa"/>
            <w:vAlign w:val="bottom"/>
            <w:tcBorders>
              <w:bottom w:val="single" w:sz="8" w:color="0000EE"/>
            </w:tcBorders>
            <w:gridSpan w:val="28"/>
          </w:tcPr>
          <w:p>
            <w:pPr>
              <w:spacing w:after="0"/>
              <w:rPr>
                <w:rFonts w:ascii="Arial" w:cs="Arial" w:eastAsia="Arial" w:hAnsi="Arial"/>
                <w:sz w:val="18"/>
                <w:szCs w:val="18"/>
                <w:color w:val="0000EE"/>
                <w:w w:val="90"/>
              </w:rPr>
            </w:pPr>
            <w:hyperlink r:id="rId217">
              <w:r>
                <w:rPr>
                  <w:rFonts w:ascii="Arial" w:cs="Arial" w:eastAsia="Arial" w:hAnsi="Arial"/>
                  <w:sz w:val="18"/>
                  <w:szCs w:val="18"/>
                  <w:color w:val="0000EE"/>
                  <w:w w:val="90"/>
                </w:rPr>
                <w:t>Employment Agreement, by and between</w:t>
              </w:r>
            </w:hyperlink>
          </w:p>
        </w:tc>
        <w:tc>
          <w:tcPr>
            <w:tcW w:w="200" w:type="dxa"/>
            <w:vAlign w:val="bottom"/>
            <w:gridSpan w:val="2"/>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9/25/2017</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0"/>
          </w:tcPr>
          <w:p>
            <w:pPr>
              <w:spacing w:after="0" w:line="196" w:lineRule="exact"/>
              <w:rPr>
                <w:rFonts w:ascii="Arial" w:cs="Arial" w:eastAsia="Arial" w:hAnsi="Arial"/>
                <w:sz w:val="18"/>
                <w:szCs w:val="18"/>
                <w:color w:val="0000EE"/>
                <w:w w:val="95"/>
              </w:rPr>
            </w:pPr>
            <w:hyperlink r:id="rId217">
              <w:r>
                <w:rPr>
                  <w:rFonts w:ascii="Arial" w:cs="Arial" w:eastAsia="Arial" w:hAnsi="Arial"/>
                  <w:sz w:val="18"/>
                  <w:szCs w:val="18"/>
                  <w:color w:val="0000EE"/>
                  <w:w w:val="95"/>
                </w:rPr>
                <w:t>the Registrant and Donald Notman, dated</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r:id="rId217">
              <w:r>
                <w:rPr>
                  <w:rFonts w:ascii="Arial" w:cs="Arial" w:eastAsia="Arial" w:hAnsi="Arial"/>
                  <w:sz w:val="18"/>
                  <w:szCs w:val="18"/>
                  <w:color w:val="0000EE"/>
                  <w:w w:val="87"/>
                </w:rPr>
                <w:t>as of September 25, 2017</w:t>
              </w:r>
            </w:hyperlink>
          </w:p>
        </w:tc>
        <w:tc>
          <w:tcPr>
            <w:tcW w:w="1140" w:type="dxa"/>
            <w:vAlign w:val="bottom"/>
            <w:tcBorders>
              <w:top w:val="single" w:sz="8" w:color="0000EE"/>
            </w:tcBorders>
            <w:gridSpan w:val="21"/>
          </w:tcPr>
          <w:p>
            <w:pPr>
              <w:spacing w:after="0"/>
              <w:rPr>
                <w:sz w:val="17"/>
                <w:szCs w:val="17"/>
                <w:color w:val="auto"/>
              </w:rPr>
            </w:pPr>
          </w:p>
        </w:tc>
        <w:tc>
          <w:tcPr>
            <w:tcW w:w="22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76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40" w:type="dxa"/>
            <w:vAlign w:val="bottom"/>
          </w:tcPr>
          <w:p>
            <w:pPr>
              <w:spacing w:after="0"/>
              <w:rPr>
                <w:sz w:val="24"/>
                <w:szCs w:val="24"/>
                <w:color w:val="auto"/>
              </w:rPr>
            </w:pPr>
          </w:p>
        </w:tc>
        <w:tc>
          <w:tcPr>
            <w:tcW w:w="3200" w:type="dxa"/>
            <w:vAlign w:val="bottom"/>
            <w:gridSpan w:val="30"/>
          </w:tcPr>
          <w:p>
            <w:pPr>
              <w:spacing w:after="0"/>
              <w:rPr>
                <w:rFonts w:ascii="Arial" w:cs="Arial" w:eastAsia="Arial" w:hAnsi="Arial"/>
                <w:sz w:val="18"/>
                <w:szCs w:val="18"/>
                <w:color w:val="0000EE"/>
              </w:rPr>
            </w:pPr>
            <w:hyperlink r:id="rId218">
              <w:r>
                <w:rPr>
                  <w:rFonts w:ascii="Arial" w:cs="Arial" w:eastAsia="Arial" w:hAnsi="Arial"/>
                  <w:sz w:val="18"/>
                  <w:szCs w:val="18"/>
                  <w:color w:val="0000EE"/>
                </w:rPr>
                <w:t>Second Amendment to Lease, by and</w:t>
              </w:r>
            </w:hyperlink>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10/16/2017</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r:id="rId218">
              <w:r>
                <w:rPr>
                  <w:rFonts w:ascii="Arial" w:cs="Arial" w:eastAsia="Arial" w:hAnsi="Arial"/>
                  <w:sz w:val="18"/>
                  <w:szCs w:val="18"/>
                  <w:color w:val="0000EE"/>
                  <w:w w:val="88"/>
                </w:rPr>
                <w:t>between the Registrant and CCC</w:t>
              </w:r>
            </w:hyperlink>
          </w:p>
        </w:tc>
        <w:tc>
          <w:tcPr>
            <w:tcW w:w="320" w:type="dxa"/>
            <w:vAlign w:val="bottom"/>
            <w:tcBorders>
              <w:top w:val="single" w:sz="8" w:color="0000EE"/>
            </w:tcBorders>
            <w:gridSpan w:val="5"/>
          </w:tcPr>
          <w:p>
            <w:pPr>
              <w:spacing w:after="0"/>
              <w:rPr>
                <w:sz w:val="17"/>
                <w:szCs w:val="17"/>
                <w:color w:val="auto"/>
              </w:rPr>
            </w:pPr>
          </w:p>
        </w:tc>
        <w:tc>
          <w:tcPr>
            <w:tcW w:w="52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30"/>
          </w:tcPr>
          <w:p>
            <w:pPr>
              <w:spacing w:after="0"/>
              <w:rPr>
                <w:rFonts w:ascii="Arial" w:cs="Arial" w:eastAsia="Arial" w:hAnsi="Arial"/>
                <w:sz w:val="18"/>
                <w:szCs w:val="18"/>
                <w:u w:val="single" w:color="auto"/>
                <w:color w:val="0000EE"/>
              </w:rPr>
            </w:pPr>
            <w:hyperlink r:id="rId218">
              <w:r>
                <w:rPr>
                  <w:rFonts w:ascii="Arial" w:cs="Arial" w:eastAsia="Arial" w:hAnsi="Arial"/>
                  <w:sz w:val="18"/>
                  <w:szCs w:val="18"/>
                  <w:u w:val="single" w:color="auto"/>
                  <w:color w:val="0000EE"/>
                </w:rPr>
                <w:t>Investors LLC, dated October 10, 2017</w:t>
              </w:r>
            </w:hyperlink>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4" w:name="page155"/>
    <w:bookmarkEnd w:id="1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900" w:type="dxa"/>
            <w:vAlign w:val="bottom"/>
            <w:gridSpan w:val="2"/>
            <w:vMerge w:val="continue"/>
          </w:tcPr>
          <w:p>
            <w:pPr>
              <w:spacing w:after="0"/>
              <w:rPr>
                <w:sz w:val="10"/>
                <w:szCs w:val="10"/>
                <w:color w:val="auto"/>
              </w:rPr>
            </w:pPr>
          </w:p>
        </w:tc>
        <w:tc>
          <w:tcPr>
            <w:tcW w:w="30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Description of Exhibit</w:t>
            </w:r>
          </w:p>
        </w:tc>
        <w:tc>
          <w:tcPr>
            <w:tcW w:w="200" w:type="dxa"/>
            <w:vAlign w:val="bottom"/>
            <w:vMerge w:val="restart"/>
          </w:tcPr>
          <w:p>
            <w:pPr>
              <w:spacing w:after="0"/>
              <w:rPr>
                <w:sz w:val="10"/>
                <w:szCs w:val="10"/>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220" w:type="dxa"/>
            <w:vAlign w:val="bottom"/>
            <w:vMerge w:val="restart"/>
          </w:tcPr>
          <w:p>
            <w:pPr>
              <w:spacing w:after="0"/>
              <w:rPr>
                <w:sz w:val="10"/>
                <w:szCs w:val="10"/>
                <w:color w:val="auto"/>
              </w:rPr>
            </w:pPr>
          </w:p>
        </w:tc>
        <w:tc>
          <w:tcPr>
            <w:tcW w:w="1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File Number</w:t>
            </w:r>
          </w:p>
        </w:tc>
        <w:tc>
          <w:tcPr>
            <w:tcW w:w="140" w:type="dxa"/>
            <w:vAlign w:val="bottom"/>
            <w:vMerge w:val="restart"/>
          </w:tcPr>
          <w:p>
            <w:pPr>
              <w:spacing w:after="0"/>
              <w:rPr>
                <w:sz w:val="10"/>
                <w:szCs w:val="10"/>
                <w:color w:val="auto"/>
              </w:rPr>
            </w:pPr>
          </w:p>
        </w:tc>
        <w:tc>
          <w:tcPr>
            <w:tcW w:w="10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Date of</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780" w:type="dxa"/>
            <w:vAlign w:val="bottom"/>
          </w:tcPr>
          <w:p>
            <w:pPr>
              <w:jc w:val="center"/>
              <w:ind w:right="170"/>
              <w:spacing w:after="0"/>
              <w:rPr>
                <w:sz w:val="20"/>
                <w:szCs w:val="20"/>
                <w:color w:val="auto"/>
              </w:rPr>
            </w:pPr>
            <w:r>
              <w:rPr>
                <w:rFonts w:ascii="Arial" w:cs="Arial" w:eastAsia="Arial" w:hAnsi="Arial"/>
                <w:sz w:val="18"/>
                <w:szCs w:val="18"/>
                <w:color w:val="auto"/>
                <w:w w:val="93"/>
              </w:rPr>
              <w:t>10.25+</w:t>
            </w:r>
          </w:p>
        </w:tc>
        <w:tc>
          <w:tcPr>
            <w:tcW w:w="3000" w:type="dxa"/>
            <w:vAlign w:val="bottom"/>
            <w:tcBorders>
              <w:bottom w:val="single" w:sz="8" w:color="0000EE"/>
            </w:tcBorders>
            <w:gridSpan w:val="20"/>
          </w:tcPr>
          <w:p>
            <w:pPr>
              <w:spacing w:after="0"/>
              <w:rPr>
                <w:rFonts w:ascii="Arial" w:cs="Arial" w:eastAsia="Arial" w:hAnsi="Arial"/>
                <w:sz w:val="18"/>
                <w:szCs w:val="18"/>
                <w:color w:val="0000EE"/>
                <w:w w:val="90"/>
              </w:rPr>
            </w:pPr>
            <w:hyperlink r:id="rId220">
              <w:r>
                <w:rPr>
                  <w:rFonts w:ascii="Arial" w:cs="Arial" w:eastAsia="Arial" w:hAnsi="Arial"/>
                  <w:sz w:val="18"/>
                  <w:szCs w:val="18"/>
                  <w:color w:val="0000EE"/>
                  <w:w w:val="90"/>
                </w:rPr>
                <w:t>Employment Agreement, by and between</w:t>
              </w:r>
            </w:hyperlink>
          </w:p>
        </w:tc>
        <w:tc>
          <w:tcPr>
            <w:tcW w:w="180" w:type="dxa"/>
            <w:vAlign w:val="bottom"/>
          </w:tcPr>
          <w:p>
            <w:pPr>
              <w:spacing w:after="0"/>
              <w:rPr>
                <w:sz w:val="17"/>
                <w:szCs w:val="17"/>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001-36554</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1"/>
              </w:rPr>
              <w:t>3/8/2018</w:t>
            </w:r>
          </w:p>
        </w:tc>
        <w:tc>
          <w:tcPr>
            <w:tcW w:w="540" w:type="dxa"/>
            <w:vAlign w:val="bottom"/>
          </w:tcPr>
          <w:p>
            <w:pPr>
              <w:jc w:val="center"/>
              <w:ind w:left="50"/>
              <w:spacing w:after="0"/>
              <w:rPr>
                <w:sz w:val="20"/>
                <w:szCs w:val="20"/>
                <w:color w:val="auto"/>
              </w:rPr>
            </w:pPr>
            <w:r>
              <w:rPr>
                <w:rFonts w:ascii="Arial" w:cs="Arial" w:eastAsia="Arial" w:hAnsi="Arial"/>
                <w:sz w:val="18"/>
                <w:szCs w:val="18"/>
                <w:color w:val="auto"/>
                <w:w w:val="88"/>
              </w:rPr>
              <w:t>10.30</w:t>
            </w:r>
          </w:p>
        </w:tc>
      </w:tr>
      <w:tr>
        <w:trPr>
          <w:trHeight w:val="196"/>
        </w:trPr>
        <w:tc>
          <w:tcPr>
            <w:tcW w:w="780" w:type="dxa"/>
            <w:vAlign w:val="bottom"/>
          </w:tcPr>
          <w:p>
            <w:pPr>
              <w:spacing w:after="0"/>
              <w:rPr>
                <w:sz w:val="17"/>
                <w:szCs w:val="17"/>
                <w:color w:val="auto"/>
              </w:rPr>
            </w:pPr>
          </w:p>
        </w:tc>
        <w:tc>
          <w:tcPr>
            <w:tcW w:w="27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220">
              <w:r>
                <w:rPr>
                  <w:rFonts w:ascii="Arial" w:cs="Arial" w:eastAsia="Arial" w:hAnsi="Arial"/>
                  <w:sz w:val="18"/>
                  <w:szCs w:val="18"/>
                  <w:color w:val="0000EE"/>
                  <w:w w:val="90"/>
                </w:rPr>
                <w:t>the Registrant and Michael Goldstein,</w:t>
              </w:r>
            </w:hyperlink>
          </w:p>
        </w:tc>
        <w:tc>
          <w:tcPr>
            <w:tcW w:w="44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3180" w:type="dxa"/>
            <w:vAlign w:val="bottom"/>
            <w:gridSpan w:val="21"/>
          </w:tcPr>
          <w:p>
            <w:pPr>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dated as of September 25, 2017</w:t>
              </w:r>
            </w:hyperlink>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05"/>
        </w:trPr>
        <w:tc>
          <w:tcPr>
            <w:tcW w:w="780" w:type="dxa"/>
            <w:vAlign w:val="bottom"/>
          </w:tcPr>
          <w:p>
            <w:pPr>
              <w:jc w:val="center"/>
              <w:ind w:right="170"/>
              <w:spacing w:after="0"/>
              <w:rPr>
                <w:sz w:val="20"/>
                <w:szCs w:val="20"/>
                <w:color w:val="auto"/>
              </w:rPr>
            </w:pPr>
            <w:r>
              <w:rPr>
                <w:rFonts w:ascii="Arial" w:cs="Arial" w:eastAsia="Arial" w:hAnsi="Arial"/>
                <w:sz w:val="18"/>
                <w:szCs w:val="18"/>
                <w:color w:val="auto"/>
                <w:w w:val="87"/>
              </w:rPr>
              <w:t>10.26†</w:t>
            </w:r>
          </w:p>
        </w:tc>
        <w:tc>
          <w:tcPr>
            <w:tcW w:w="2860" w:type="dxa"/>
            <w:vAlign w:val="bottom"/>
            <w:tcBorders>
              <w:bottom w:val="single" w:sz="8" w:color="0000EE"/>
            </w:tcBorders>
            <w:gridSpan w:val="15"/>
          </w:tcPr>
          <w:p>
            <w:pPr>
              <w:spacing w:after="0"/>
              <w:rPr>
                <w:rFonts w:ascii="Arial" w:cs="Arial" w:eastAsia="Arial" w:hAnsi="Arial"/>
                <w:sz w:val="18"/>
                <w:szCs w:val="18"/>
                <w:color w:val="0000EE"/>
                <w:w w:val="88"/>
              </w:rPr>
            </w:pPr>
            <w:hyperlink r:id="rId221">
              <w:r>
                <w:rPr>
                  <w:rFonts w:ascii="Arial" w:cs="Arial" w:eastAsia="Arial" w:hAnsi="Arial"/>
                  <w:sz w:val="18"/>
                  <w:szCs w:val="18"/>
                  <w:color w:val="0000EE"/>
                  <w:w w:val="88"/>
                </w:rPr>
                <w:t>Second Amended and Restated License</w:t>
              </w:r>
            </w:hyperlink>
          </w:p>
        </w:tc>
        <w:tc>
          <w:tcPr>
            <w:tcW w:w="320" w:type="dxa"/>
            <w:vAlign w:val="bottom"/>
            <w:gridSpan w:val="6"/>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001-36554</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9"/>
              </w:rPr>
              <w:t>9/19/2018</w:t>
            </w:r>
          </w:p>
        </w:tc>
        <w:tc>
          <w:tcPr>
            <w:tcW w:w="540" w:type="dxa"/>
            <w:vAlign w:val="bottom"/>
          </w:tcPr>
          <w:p>
            <w:pPr>
              <w:jc w:val="center"/>
              <w:ind w:left="50"/>
              <w:spacing w:after="0"/>
              <w:rPr>
                <w:sz w:val="20"/>
                <w:szCs w:val="20"/>
                <w:color w:val="auto"/>
              </w:rPr>
            </w:pPr>
            <w:r>
              <w:rPr>
                <w:rFonts w:ascii="Arial" w:cs="Arial" w:eastAsia="Arial" w:hAnsi="Arial"/>
                <w:sz w:val="18"/>
                <w:szCs w:val="18"/>
                <w:color w:val="auto"/>
                <w:w w:val="91"/>
              </w:rPr>
              <w:t>10.1</w:t>
            </w:r>
          </w:p>
        </w:tc>
      </w:tr>
      <w:tr>
        <w:trPr>
          <w:trHeight w:val="196"/>
        </w:trPr>
        <w:tc>
          <w:tcPr>
            <w:tcW w:w="780" w:type="dxa"/>
            <w:vAlign w:val="bottom"/>
          </w:tcPr>
          <w:p>
            <w:pPr>
              <w:spacing w:after="0"/>
              <w:rPr>
                <w:sz w:val="17"/>
                <w:szCs w:val="17"/>
                <w:color w:val="auto"/>
              </w:rPr>
            </w:pPr>
          </w:p>
        </w:tc>
        <w:tc>
          <w:tcPr>
            <w:tcW w:w="28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221">
              <w:r>
                <w:rPr>
                  <w:rFonts w:ascii="Arial" w:cs="Arial" w:eastAsia="Arial" w:hAnsi="Arial"/>
                  <w:sz w:val="18"/>
                  <w:szCs w:val="18"/>
                  <w:color w:val="0000EE"/>
                  <w:w w:val="88"/>
                </w:rPr>
                <w:t>Agreement, dated September 13, 2018,</w:t>
              </w:r>
            </w:hyperlink>
          </w:p>
        </w:tc>
        <w:tc>
          <w:tcPr>
            <w:tcW w:w="36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9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221">
              <w:r>
                <w:rPr>
                  <w:rFonts w:ascii="Arial" w:cs="Arial" w:eastAsia="Arial" w:hAnsi="Arial"/>
                  <w:sz w:val="18"/>
                  <w:szCs w:val="18"/>
                  <w:color w:val="0000EE"/>
                  <w:w w:val="88"/>
                </w:rPr>
                <w:t>by and between the Registrant and Incept</w:t>
              </w:r>
            </w:hyperlink>
          </w:p>
        </w:tc>
        <w:tc>
          <w:tcPr>
            <w:tcW w:w="20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LLC</w:t>
              </w:r>
            </w:hyperlink>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6"/>
        </w:trPr>
        <w:tc>
          <w:tcPr>
            <w:tcW w:w="780" w:type="dxa"/>
            <w:vAlign w:val="bottom"/>
          </w:tcPr>
          <w:p>
            <w:pPr>
              <w:jc w:val="center"/>
              <w:ind w:right="170"/>
              <w:spacing w:after="0"/>
              <w:rPr>
                <w:sz w:val="20"/>
                <w:szCs w:val="20"/>
                <w:color w:val="auto"/>
              </w:rPr>
            </w:pPr>
            <w:r>
              <w:rPr>
                <w:rFonts w:ascii="Arial" w:cs="Arial" w:eastAsia="Arial" w:hAnsi="Arial"/>
                <w:sz w:val="18"/>
                <w:szCs w:val="18"/>
                <w:color w:val="auto"/>
                <w:w w:val="88"/>
              </w:rPr>
              <w:t>10.27</w:t>
            </w:r>
          </w:p>
        </w:tc>
        <w:tc>
          <w:tcPr>
            <w:tcW w:w="2940" w:type="dxa"/>
            <w:vAlign w:val="bottom"/>
            <w:tcBorders>
              <w:bottom w:val="single" w:sz="8" w:color="0000EE"/>
            </w:tcBorders>
            <w:gridSpan w:val="17"/>
          </w:tcPr>
          <w:p>
            <w:pPr>
              <w:spacing w:after="0"/>
              <w:rPr>
                <w:rFonts w:ascii="Arial" w:cs="Arial" w:eastAsia="Arial" w:hAnsi="Arial"/>
                <w:sz w:val="18"/>
                <w:szCs w:val="18"/>
                <w:color w:val="0000EE"/>
                <w:w w:val="90"/>
              </w:rPr>
            </w:pPr>
            <w:hyperlink r:id="rId222">
              <w:r>
                <w:rPr>
                  <w:rFonts w:ascii="Arial" w:cs="Arial" w:eastAsia="Arial" w:hAnsi="Arial"/>
                  <w:sz w:val="18"/>
                  <w:szCs w:val="18"/>
                  <w:color w:val="0000EE"/>
                  <w:w w:val="90"/>
                </w:rPr>
                <w:t>Third Amended and Restated Credit and</w:t>
              </w:r>
            </w:hyperlink>
          </w:p>
        </w:tc>
        <w:tc>
          <w:tcPr>
            <w:tcW w:w="240" w:type="dxa"/>
            <w:vAlign w:val="bottom"/>
            <w:gridSpan w:val="4"/>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001-36554</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90"/>
              </w:rPr>
              <w:t>12/28/2018</w:t>
            </w:r>
          </w:p>
        </w:tc>
        <w:tc>
          <w:tcPr>
            <w:tcW w:w="540" w:type="dxa"/>
            <w:vAlign w:val="bottom"/>
          </w:tcPr>
          <w:p>
            <w:pPr>
              <w:jc w:val="center"/>
              <w:ind w:left="50"/>
              <w:spacing w:after="0"/>
              <w:rPr>
                <w:sz w:val="20"/>
                <w:szCs w:val="20"/>
                <w:color w:val="auto"/>
              </w:rPr>
            </w:pPr>
            <w:r>
              <w:rPr>
                <w:rFonts w:ascii="Arial" w:cs="Arial" w:eastAsia="Arial" w:hAnsi="Arial"/>
                <w:sz w:val="18"/>
                <w:szCs w:val="18"/>
                <w:color w:val="auto"/>
                <w:w w:val="91"/>
              </w:rPr>
              <w:t>10.1</w:t>
            </w:r>
          </w:p>
        </w:tc>
      </w:tr>
      <w:tr>
        <w:trPr>
          <w:trHeight w:val="196"/>
        </w:trPr>
        <w:tc>
          <w:tcPr>
            <w:tcW w:w="780" w:type="dxa"/>
            <w:vAlign w:val="bottom"/>
          </w:tcPr>
          <w:p>
            <w:pPr>
              <w:spacing w:after="0"/>
              <w:rPr>
                <w:sz w:val="17"/>
                <w:szCs w:val="17"/>
                <w:color w:val="auto"/>
              </w:rPr>
            </w:pPr>
          </w:p>
        </w:tc>
        <w:tc>
          <w:tcPr>
            <w:tcW w:w="29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222">
              <w:r>
                <w:rPr>
                  <w:rFonts w:ascii="Arial" w:cs="Arial" w:eastAsia="Arial" w:hAnsi="Arial"/>
                  <w:sz w:val="18"/>
                  <w:szCs w:val="18"/>
                  <w:color w:val="0000EE"/>
                  <w:w w:val="89"/>
                </w:rPr>
                <w:t>Security Agreement dated December 21,</w:t>
              </w:r>
            </w:hyperlink>
          </w:p>
        </w:tc>
        <w:tc>
          <w:tcPr>
            <w:tcW w:w="24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7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22">
              <w:r>
                <w:rPr>
                  <w:rFonts w:ascii="Arial" w:cs="Arial" w:eastAsia="Arial" w:hAnsi="Arial"/>
                  <w:sz w:val="18"/>
                  <w:szCs w:val="18"/>
                  <w:color w:val="0000EE"/>
                  <w:w w:val="91"/>
                </w:rPr>
                <w:t>2018 by and among MidCap Financial</w:t>
              </w:r>
            </w:hyperlink>
          </w:p>
        </w:tc>
        <w:tc>
          <w:tcPr>
            <w:tcW w:w="400" w:type="dxa"/>
            <w:vAlign w:val="bottom"/>
            <w:gridSpan w:val="10"/>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2"/>
        </w:trPr>
        <w:tc>
          <w:tcPr>
            <w:tcW w:w="780" w:type="dxa"/>
            <w:vAlign w:val="bottom"/>
          </w:tcPr>
          <w:p>
            <w:pPr>
              <w:spacing w:after="0"/>
              <w:rPr>
                <w:sz w:val="19"/>
                <w:szCs w:val="19"/>
                <w:color w:val="auto"/>
              </w:rPr>
            </w:pPr>
          </w:p>
        </w:tc>
        <w:tc>
          <w:tcPr>
            <w:tcW w:w="3180" w:type="dxa"/>
            <w:vAlign w:val="bottom"/>
            <w:gridSpan w:val="21"/>
          </w:tcPr>
          <w:p>
            <w:pPr>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Trust, as administrative agent, the</w:t>
              </w:r>
            </w:hyperlink>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180" w:type="dxa"/>
            <w:vAlign w:val="bottom"/>
            <w:gridSpan w:val="21"/>
          </w:tcPr>
          <w:p>
            <w:pPr>
              <w:spacing w:after="0"/>
              <w:rPr>
                <w:rFonts w:ascii="Arial" w:cs="Arial" w:eastAsia="Arial" w:hAnsi="Arial"/>
                <w:sz w:val="18"/>
                <w:szCs w:val="18"/>
                <w:u w:val="single" w:color="auto"/>
                <w:color w:val="0000EE"/>
                <w:w w:val="95"/>
              </w:rPr>
            </w:pPr>
            <w:hyperlink r:id="rId222">
              <w:r>
                <w:rPr>
                  <w:rFonts w:ascii="Arial" w:cs="Arial" w:eastAsia="Arial" w:hAnsi="Arial"/>
                  <w:sz w:val="18"/>
                  <w:szCs w:val="18"/>
                  <w:u w:val="single" w:color="auto"/>
                  <w:color w:val="0000EE"/>
                  <w:w w:val="95"/>
                </w:rPr>
                <w:t>Registrant, and the Lenders listed therein</w:t>
              </w:r>
            </w:hyperlink>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05"/>
        </w:trPr>
        <w:tc>
          <w:tcPr>
            <w:tcW w:w="780" w:type="dxa"/>
            <w:vAlign w:val="bottom"/>
          </w:tcPr>
          <w:p>
            <w:pPr>
              <w:jc w:val="center"/>
              <w:ind w:right="170"/>
              <w:spacing w:after="0"/>
              <w:rPr>
                <w:sz w:val="20"/>
                <w:szCs w:val="20"/>
                <w:color w:val="auto"/>
              </w:rPr>
            </w:pPr>
            <w:r>
              <w:rPr>
                <w:rFonts w:ascii="Arial" w:cs="Arial" w:eastAsia="Arial" w:hAnsi="Arial"/>
                <w:sz w:val="18"/>
                <w:szCs w:val="18"/>
                <w:color w:val="auto"/>
                <w:w w:val="88"/>
              </w:rPr>
              <w:t>10.28</w:t>
            </w:r>
          </w:p>
        </w:tc>
        <w:tc>
          <w:tcPr>
            <w:tcW w:w="2960" w:type="dxa"/>
            <w:vAlign w:val="bottom"/>
            <w:tcBorders>
              <w:bottom w:val="single" w:sz="8" w:color="0000EE"/>
            </w:tcBorders>
            <w:gridSpan w:val="18"/>
          </w:tcPr>
          <w:p>
            <w:pPr>
              <w:spacing w:after="0"/>
              <w:rPr>
                <w:rFonts w:ascii="Arial" w:cs="Arial" w:eastAsia="Arial" w:hAnsi="Arial"/>
                <w:sz w:val="18"/>
                <w:szCs w:val="18"/>
                <w:color w:val="0000EE"/>
                <w:w w:val="91"/>
              </w:rPr>
            </w:pPr>
            <w:hyperlink r:id="rId223">
              <w:r>
                <w:rPr>
                  <w:rFonts w:ascii="Arial" w:cs="Arial" w:eastAsia="Arial" w:hAnsi="Arial"/>
                  <w:sz w:val="18"/>
                  <w:szCs w:val="18"/>
                  <w:color w:val="0000EE"/>
                  <w:w w:val="91"/>
                </w:rPr>
                <w:t>First Amendment to Third Amended and</w:t>
              </w:r>
            </w:hyperlink>
          </w:p>
        </w:tc>
        <w:tc>
          <w:tcPr>
            <w:tcW w:w="220" w:type="dxa"/>
            <w:vAlign w:val="bottom"/>
            <w:gridSpan w:val="3"/>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001-36554</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9"/>
              </w:rPr>
              <w:t>2/22/2019</w:t>
            </w:r>
          </w:p>
        </w:tc>
        <w:tc>
          <w:tcPr>
            <w:tcW w:w="540" w:type="dxa"/>
            <w:vAlign w:val="bottom"/>
          </w:tcPr>
          <w:p>
            <w:pPr>
              <w:jc w:val="center"/>
              <w:ind w:left="50"/>
              <w:spacing w:after="0"/>
              <w:rPr>
                <w:sz w:val="20"/>
                <w:szCs w:val="20"/>
                <w:color w:val="auto"/>
              </w:rPr>
            </w:pPr>
            <w:r>
              <w:rPr>
                <w:rFonts w:ascii="Arial" w:cs="Arial" w:eastAsia="Arial" w:hAnsi="Arial"/>
                <w:sz w:val="18"/>
                <w:szCs w:val="18"/>
                <w:color w:val="auto"/>
                <w:w w:val="91"/>
              </w:rPr>
              <w:t>10.3</w:t>
            </w:r>
          </w:p>
        </w:tc>
      </w:tr>
      <w:tr>
        <w:trPr>
          <w:trHeight w:val="196"/>
        </w:trPr>
        <w:tc>
          <w:tcPr>
            <w:tcW w:w="780" w:type="dxa"/>
            <w:vAlign w:val="bottom"/>
          </w:tcPr>
          <w:p>
            <w:pPr>
              <w:spacing w:after="0"/>
              <w:rPr>
                <w:sz w:val="17"/>
                <w:szCs w:val="17"/>
                <w:color w:val="auto"/>
              </w:rPr>
            </w:pPr>
          </w:p>
        </w:tc>
        <w:tc>
          <w:tcPr>
            <w:tcW w:w="29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223">
              <w:r>
                <w:rPr>
                  <w:rFonts w:ascii="Arial" w:cs="Arial" w:eastAsia="Arial" w:hAnsi="Arial"/>
                  <w:sz w:val="18"/>
                  <w:szCs w:val="18"/>
                  <w:color w:val="0000EE"/>
                  <w:w w:val="89"/>
                </w:rPr>
                <w:t>Restated Credit and Security Agreement,</w:t>
              </w:r>
            </w:hyperlink>
          </w:p>
        </w:tc>
        <w:tc>
          <w:tcPr>
            <w:tcW w:w="22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dated as of February 21, 2019, by and</w:t>
              </w:r>
            </w:hyperlink>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9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among the Registrant, MidCap Financial</w:t>
              </w:r>
            </w:hyperlink>
          </w:p>
        </w:tc>
        <w:tc>
          <w:tcPr>
            <w:tcW w:w="24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2"/>
        </w:trPr>
        <w:tc>
          <w:tcPr>
            <w:tcW w:w="780" w:type="dxa"/>
            <w:vAlign w:val="bottom"/>
          </w:tcPr>
          <w:p>
            <w:pPr>
              <w:spacing w:after="0"/>
              <w:rPr>
                <w:sz w:val="19"/>
                <w:szCs w:val="19"/>
                <w:color w:val="auto"/>
              </w:rPr>
            </w:pPr>
          </w:p>
        </w:tc>
        <w:tc>
          <w:tcPr>
            <w:tcW w:w="3180" w:type="dxa"/>
            <w:vAlign w:val="bottom"/>
            <w:gridSpan w:val="21"/>
          </w:tcPr>
          <w:p>
            <w:pPr>
              <w:spacing w:after="0"/>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Trust, as administrative agent, and the</w:t>
              </w:r>
            </w:hyperlink>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180" w:type="dxa"/>
            <w:vAlign w:val="bottom"/>
            <w:gridSpan w:val="21"/>
          </w:tcPr>
          <w:p>
            <w:pPr>
              <w:spacing w:after="0"/>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Lenders listed therein</w:t>
              </w:r>
            </w:hyperlink>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05"/>
        </w:trPr>
        <w:tc>
          <w:tcPr>
            <w:tcW w:w="780" w:type="dxa"/>
            <w:vAlign w:val="bottom"/>
          </w:tcPr>
          <w:p>
            <w:pPr>
              <w:jc w:val="center"/>
              <w:ind w:right="170"/>
              <w:spacing w:after="0"/>
              <w:rPr>
                <w:sz w:val="20"/>
                <w:szCs w:val="20"/>
                <w:color w:val="auto"/>
              </w:rPr>
            </w:pPr>
            <w:r>
              <w:rPr>
                <w:rFonts w:ascii="Arial" w:cs="Arial" w:eastAsia="Arial" w:hAnsi="Arial"/>
                <w:sz w:val="18"/>
                <w:szCs w:val="18"/>
                <w:color w:val="auto"/>
                <w:w w:val="88"/>
              </w:rPr>
              <w:t>10.29</w:t>
            </w:r>
          </w:p>
        </w:tc>
        <w:tc>
          <w:tcPr>
            <w:tcW w:w="2840" w:type="dxa"/>
            <w:vAlign w:val="bottom"/>
            <w:tcBorders>
              <w:bottom w:val="single" w:sz="8" w:color="0000EE"/>
            </w:tcBorders>
            <w:gridSpan w:val="14"/>
          </w:tcPr>
          <w:p>
            <w:pPr>
              <w:spacing w:after="0"/>
              <w:rPr>
                <w:rFonts w:ascii="Arial" w:cs="Arial" w:eastAsia="Arial" w:hAnsi="Arial"/>
                <w:sz w:val="18"/>
                <w:szCs w:val="18"/>
                <w:color w:val="0000EE"/>
                <w:w w:val="90"/>
              </w:rPr>
            </w:pPr>
            <w:hyperlink r:id="rId224">
              <w:r>
                <w:rPr>
                  <w:rFonts w:ascii="Arial" w:cs="Arial" w:eastAsia="Arial" w:hAnsi="Arial"/>
                  <w:sz w:val="18"/>
                  <w:szCs w:val="18"/>
                  <w:color w:val="0000EE"/>
                  <w:w w:val="90"/>
                </w:rPr>
                <w:t>Second Amendment to Third Amended</w:t>
              </w:r>
            </w:hyperlink>
          </w:p>
        </w:tc>
        <w:tc>
          <w:tcPr>
            <w:tcW w:w="340" w:type="dxa"/>
            <w:vAlign w:val="bottom"/>
            <w:gridSpan w:val="7"/>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001-36554</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1"/>
              </w:rPr>
              <w:t>8/7/2019</w:t>
            </w:r>
          </w:p>
        </w:tc>
        <w:tc>
          <w:tcPr>
            <w:tcW w:w="540" w:type="dxa"/>
            <w:vAlign w:val="bottom"/>
          </w:tcPr>
          <w:p>
            <w:pPr>
              <w:jc w:val="center"/>
              <w:ind w:left="50"/>
              <w:spacing w:after="0"/>
              <w:rPr>
                <w:sz w:val="20"/>
                <w:szCs w:val="20"/>
                <w:color w:val="auto"/>
              </w:rPr>
            </w:pPr>
            <w:r>
              <w:rPr>
                <w:rFonts w:ascii="Arial" w:cs="Arial" w:eastAsia="Arial" w:hAnsi="Arial"/>
                <w:sz w:val="18"/>
                <w:szCs w:val="18"/>
                <w:color w:val="auto"/>
                <w:w w:val="91"/>
              </w:rPr>
              <w:t>10.5</w:t>
            </w:r>
          </w:p>
        </w:tc>
      </w:tr>
      <w:tr>
        <w:trPr>
          <w:trHeight w:val="196"/>
        </w:trPr>
        <w:tc>
          <w:tcPr>
            <w:tcW w:w="78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and Restated Credit and Security</w:t>
              </w:r>
            </w:hyperlink>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224">
              <w:r>
                <w:rPr>
                  <w:rFonts w:ascii="Arial" w:cs="Arial" w:eastAsia="Arial" w:hAnsi="Arial"/>
                  <w:sz w:val="18"/>
                  <w:szCs w:val="18"/>
                  <w:color w:val="0000EE"/>
                  <w:w w:val="89"/>
                </w:rPr>
                <w:t>Agreement, by and among the</w:t>
              </w:r>
            </w:hyperlink>
          </w:p>
        </w:tc>
        <w:tc>
          <w:tcPr>
            <w:tcW w:w="180" w:type="dxa"/>
            <w:vAlign w:val="bottom"/>
            <w:tcBorders>
              <w:top w:val="single" w:sz="8" w:color="0000EE"/>
            </w:tcBorders>
          </w:tcPr>
          <w:p>
            <w:pPr>
              <w:spacing w:after="0"/>
              <w:rPr>
                <w:sz w:val="17"/>
                <w:szCs w:val="17"/>
                <w:color w:val="auto"/>
              </w:rPr>
            </w:pPr>
          </w:p>
        </w:tc>
        <w:tc>
          <w:tcPr>
            <w:tcW w:w="820" w:type="dxa"/>
            <w:vAlign w:val="bottom"/>
            <w:gridSpan w:val="15"/>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8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Registrant, MidCap Financial Trust, as</w:t>
              </w:r>
            </w:hyperlink>
          </w:p>
        </w:tc>
        <w:tc>
          <w:tcPr>
            <w:tcW w:w="3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2"/>
        </w:trPr>
        <w:tc>
          <w:tcPr>
            <w:tcW w:w="780" w:type="dxa"/>
            <w:vAlign w:val="bottom"/>
          </w:tcPr>
          <w:p>
            <w:pPr>
              <w:spacing w:after="0"/>
              <w:rPr>
                <w:sz w:val="19"/>
                <w:szCs w:val="19"/>
                <w:color w:val="auto"/>
              </w:rPr>
            </w:pPr>
          </w:p>
        </w:tc>
        <w:tc>
          <w:tcPr>
            <w:tcW w:w="3180" w:type="dxa"/>
            <w:vAlign w:val="bottom"/>
            <w:gridSpan w:val="21"/>
          </w:tcPr>
          <w:p>
            <w:pPr>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administrative agent, and the Lenders</w:t>
              </w:r>
            </w:hyperlink>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180" w:type="dxa"/>
            <w:vAlign w:val="bottom"/>
            <w:gridSpan w:val="21"/>
          </w:tcPr>
          <w:p>
            <w:pPr>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listed therein</w:t>
              </w:r>
            </w:hyperlink>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05"/>
        </w:trPr>
        <w:tc>
          <w:tcPr>
            <w:tcW w:w="780" w:type="dxa"/>
            <w:vAlign w:val="bottom"/>
          </w:tcPr>
          <w:p>
            <w:pPr>
              <w:jc w:val="center"/>
              <w:ind w:right="170"/>
              <w:spacing w:after="0"/>
              <w:rPr>
                <w:sz w:val="20"/>
                <w:szCs w:val="20"/>
                <w:color w:val="auto"/>
              </w:rPr>
            </w:pPr>
            <w:r>
              <w:rPr>
                <w:rFonts w:ascii="Arial" w:cs="Arial" w:eastAsia="Arial" w:hAnsi="Arial"/>
                <w:sz w:val="18"/>
                <w:szCs w:val="18"/>
                <w:color w:val="auto"/>
                <w:w w:val="88"/>
              </w:rPr>
              <w:t>10.30</w:t>
            </w:r>
          </w:p>
        </w:tc>
        <w:tc>
          <w:tcPr>
            <w:tcW w:w="2740" w:type="dxa"/>
            <w:vAlign w:val="bottom"/>
            <w:tcBorders>
              <w:bottom w:val="single" w:sz="8" w:color="0000EE"/>
            </w:tcBorders>
            <w:gridSpan w:val="10"/>
          </w:tcPr>
          <w:p>
            <w:pPr>
              <w:spacing w:after="0"/>
              <w:rPr>
                <w:rFonts w:ascii="Arial" w:cs="Arial" w:eastAsia="Arial" w:hAnsi="Arial"/>
                <w:sz w:val="18"/>
                <w:szCs w:val="18"/>
                <w:color w:val="0000EE"/>
                <w:w w:val="89"/>
              </w:rPr>
            </w:pPr>
            <w:hyperlink r:id="rId225">
              <w:r>
                <w:rPr>
                  <w:rFonts w:ascii="Arial" w:cs="Arial" w:eastAsia="Arial" w:hAnsi="Arial"/>
                  <w:sz w:val="18"/>
                  <w:szCs w:val="18"/>
                  <w:color w:val="0000EE"/>
                  <w:w w:val="89"/>
                </w:rPr>
                <w:t>Subordination Agreement, dated as of</w:t>
              </w:r>
            </w:hyperlink>
          </w:p>
        </w:tc>
        <w:tc>
          <w:tcPr>
            <w:tcW w:w="440" w:type="dxa"/>
            <w:vAlign w:val="bottom"/>
            <w:gridSpan w:val="11"/>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001-36554</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9"/>
              </w:rPr>
              <w:t>2/22/2019</w:t>
            </w:r>
          </w:p>
        </w:tc>
        <w:tc>
          <w:tcPr>
            <w:tcW w:w="540" w:type="dxa"/>
            <w:vAlign w:val="bottom"/>
          </w:tcPr>
          <w:p>
            <w:pPr>
              <w:jc w:val="center"/>
              <w:ind w:left="50"/>
              <w:spacing w:after="0"/>
              <w:rPr>
                <w:sz w:val="20"/>
                <w:szCs w:val="20"/>
                <w:color w:val="auto"/>
              </w:rPr>
            </w:pPr>
            <w:r>
              <w:rPr>
                <w:rFonts w:ascii="Arial" w:cs="Arial" w:eastAsia="Arial" w:hAnsi="Arial"/>
                <w:sz w:val="18"/>
                <w:szCs w:val="18"/>
                <w:color w:val="auto"/>
                <w:w w:val="91"/>
              </w:rPr>
              <w:t>10.4</w:t>
            </w:r>
          </w:p>
        </w:tc>
      </w:tr>
      <w:tr>
        <w:trPr>
          <w:trHeight w:val="196"/>
        </w:trPr>
        <w:tc>
          <w:tcPr>
            <w:tcW w:w="780" w:type="dxa"/>
            <w:vAlign w:val="bottom"/>
          </w:tcPr>
          <w:p>
            <w:pPr>
              <w:spacing w:after="0"/>
              <w:rPr>
                <w:sz w:val="17"/>
                <w:szCs w:val="17"/>
                <w:color w:val="auto"/>
              </w:rPr>
            </w:pPr>
          </w:p>
        </w:tc>
        <w:tc>
          <w:tcPr>
            <w:tcW w:w="27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225">
              <w:r>
                <w:rPr>
                  <w:rFonts w:ascii="Arial" w:cs="Arial" w:eastAsia="Arial" w:hAnsi="Arial"/>
                  <w:sz w:val="18"/>
                  <w:szCs w:val="18"/>
                  <w:color w:val="0000EE"/>
                  <w:w w:val="88"/>
                </w:rPr>
                <w:t>February 21, 2019, by and among the</w:t>
              </w:r>
            </w:hyperlink>
          </w:p>
        </w:tc>
        <w:tc>
          <w:tcPr>
            <w:tcW w:w="460" w:type="dxa"/>
            <w:vAlign w:val="bottom"/>
            <w:gridSpan w:val="12"/>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8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25">
              <w:r>
                <w:rPr>
                  <w:rFonts w:ascii="Arial" w:cs="Arial" w:eastAsia="Arial" w:hAnsi="Arial"/>
                  <w:sz w:val="18"/>
                  <w:szCs w:val="18"/>
                  <w:color w:val="0000EE"/>
                  <w:w w:val="90"/>
                </w:rPr>
                <w:t>Registrant, MidCap Financial Trust, as</w:t>
              </w:r>
            </w:hyperlink>
          </w:p>
        </w:tc>
        <w:tc>
          <w:tcPr>
            <w:tcW w:w="3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2"/>
        </w:trPr>
        <w:tc>
          <w:tcPr>
            <w:tcW w:w="780" w:type="dxa"/>
            <w:vAlign w:val="bottom"/>
          </w:tcPr>
          <w:p>
            <w:pPr>
              <w:spacing w:after="0"/>
              <w:rPr>
                <w:sz w:val="19"/>
                <w:szCs w:val="19"/>
                <w:color w:val="auto"/>
              </w:rPr>
            </w:pPr>
          </w:p>
        </w:tc>
        <w:tc>
          <w:tcPr>
            <w:tcW w:w="3180" w:type="dxa"/>
            <w:vAlign w:val="bottom"/>
            <w:gridSpan w:val="21"/>
          </w:tcPr>
          <w:p>
            <w:pPr>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administrative agent, and the Lenders</w:t>
              </w:r>
            </w:hyperlink>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180" w:type="dxa"/>
            <w:vAlign w:val="bottom"/>
            <w:gridSpan w:val="21"/>
          </w:tcPr>
          <w:p>
            <w:pPr>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listed therein</w:t>
              </w:r>
            </w:hyperlink>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05"/>
        </w:trPr>
        <w:tc>
          <w:tcPr>
            <w:tcW w:w="780" w:type="dxa"/>
            <w:vAlign w:val="bottom"/>
          </w:tcPr>
          <w:p>
            <w:pPr>
              <w:jc w:val="center"/>
              <w:ind w:right="170"/>
              <w:spacing w:after="0"/>
              <w:rPr>
                <w:sz w:val="20"/>
                <w:szCs w:val="20"/>
                <w:color w:val="auto"/>
              </w:rPr>
            </w:pPr>
            <w:r>
              <w:rPr>
                <w:rFonts w:ascii="Arial" w:cs="Arial" w:eastAsia="Arial" w:hAnsi="Arial"/>
                <w:sz w:val="18"/>
                <w:szCs w:val="18"/>
                <w:color w:val="auto"/>
                <w:w w:val="88"/>
              </w:rPr>
              <w:t>10.31</w:t>
            </w:r>
          </w:p>
        </w:tc>
        <w:tc>
          <w:tcPr>
            <w:tcW w:w="2680" w:type="dxa"/>
            <w:vAlign w:val="bottom"/>
            <w:tcBorders>
              <w:bottom w:val="single" w:sz="8" w:color="0000EE"/>
            </w:tcBorders>
            <w:gridSpan w:val="8"/>
          </w:tcPr>
          <w:p>
            <w:pPr>
              <w:spacing w:after="0"/>
              <w:rPr>
                <w:rFonts w:ascii="Arial" w:cs="Arial" w:eastAsia="Arial" w:hAnsi="Arial"/>
                <w:sz w:val="18"/>
                <w:szCs w:val="18"/>
                <w:color w:val="0000EE"/>
                <w:w w:val="90"/>
              </w:rPr>
            </w:pPr>
            <w:hyperlink r:id="rId226">
              <w:r>
                <w:rPr>
                  <w:rFonts w:ascii="Arial" w:cs="Arial" w:eastAsia="Arial" w:hAnsi="Arial"/>
                  <w:sz w:val="18"/>
                  <w:szCs w:val="18"/>
                  <w:color w:val="0000EE"/>
                  <w:w w:val="90"/>
                </w:rPr>
                <w:t>Note Purchase Agreement (including</w:t>
              </w:r>
            </w:hyperlink>
          </w:p>
        </w:tc>
        <w:tc>
          <w:tcPr>
            <w:tcW w:w="500" w:type="dxa"/>
            <w:vAlign w:val="bottom"/>
            <w:gridSpan w:val="13"/>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001-36554</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9"/>
              </w:rPr>
              <w:t>2/22/2019</w:t>
            </w:r>
          </w:p>
        </w:tc>
        <w:tc>
          <w:tcPr>
            <w:tcW w:w="540" w:type="dxa"/>
            <w:vAlign w:val="bottom"/>
          </w:tcPr>
          <w:p>
            <w:pPr>
              <w:jc w:val="center"/>
              <w:ind w:left="50"/>
              <w:spacing w:after="0"/>
              <w:rPr>
                <w:sz w:val="20"/>
                <w:szCs w:val="20"/>
                <w:color w:val="auto"/>
              </w:rPr>
            </w:pPr>
            <w:r>
              <w:rPr>
                <w:rFonts w:ascii="Arial" w:cs="Arial" w:eastAsia="Arial" w:hAnsi="Arial"/>
                <w:sz w:val="18"/>
                <w:szCs w:val="18"/>
                <w:color w:val="auto"/>
                <w:w w:val="91"/>
              </w:rPr>
              <w:t>10.1</w:t>
            </w:r>
          </w:p>
        </w:tc>
      </w:tr>
      <w:tr>
        <w:trPr>
          <w:trHeight w:val="196"/>
        </w:trPr>
        <w:tc>
          <w:tcPr>
            <w:tcW w:w="78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Form of Senior Subordinated</w:t>
              </w:r>
            </w:hyperlink>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w w:val="99"/>
              </w:rPr>
            </w:pPr>
            <w:hyperlink r:id="rId226">
              <w:r>
                <w:rPr>
                  <w:rFonts w:ascii="Arial" w:cs="Arial" w:eastAsia="Arial" w:hAnsi="Arial"/>
                  <w:sz w:val="18"/>
                  <w:szCs w:val="18"/>
                  <w:color w:val="0000EE"/>
                  <w:w w:val="99"/>
                </w:rPr>
                <w:t>Convertible Note), dated as of February</w:t>
              </w:r>
            </w:hyperlink>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2"/>
        </w:trPr>
        <w:tc>
          <w:tcPr>
            <w:tcW w:w="780" w:type="dxa"/>
            <w:vAlign w:val="bottom"/>
          </w:tcPr>
          <w:p>
            <w:pPr>
              <w:spacing w:after="0"/>
              <w:rPr>
                <w:sz w:val="19"/>
                <w:szCs w:val="19"/>
                <w:color w:val="auto"/>
              </w:rPr>
            </w:pPr>
          </w:p>
        </w:tc>
        <w:tc>
          <w:tcPr>
            <w:tcW w:w="2860" w:type="dxa"/>
            <w:vAlign w:val="bottom"/>
            <w:tcBorders>
              <w:top w:val="single" w:sz="8" w:color="0000EE"/>
            </w:tcBorders>
            <w:gridSpan w:val="15"/>
          </w:tcPr>
          <w:p>
            <w:pPr>
              <w:spacing w:after="0"/>
              <w:rPr>
                <w:rFonts w:ascii="Arial" w:cs="Arial" w:eastAsia="Arial" w:hAnsi="Arial"/>
                <w:sz w:val="18"/>
                <w:szCs w:val="18"/>
                <w:u w:val="single" w:color="auto"/>
                <w:color w:val="0000EE"/>
                <w:w w:val="91"/>
              </w:rPr>
            </w:pPr>
            <w:hyperlink r:id="rId226">
              <w:r>
                <w:rPr>
                  <w:rFonts w:ascii="Arial" w:cs="Arial" w:eastAsia="Arial" w:hAnsi="Arial"/>
                  <w:sz w:val="18"/>
                  <w:szCs w:val="18"/>
                  <w:u w:val="single" w:color="auto"/>
                  <w:color w:val="0000EE"/>
                  <w:w w:val="91"/>
                </w:rPr>
                <w:t>21, 2019, by and among the Registrant</w:t>
              </w:r>
            </w:hyperlink>
          </w:p>
        </w:tc>
        <w:tc>
          <w:tcPr>
            <w:tcW w:w="320" w:type="dxa"/>
            <w:vAlign w:val="bottom"/>
            <w:gridSpan w:val="6"/>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p>
        </w:tc>
        <w:tc>
          <w:tcPr>
            <w:tcW w:w="3180" w:type="dxa"/>
            <w:vAlign w:val="bottom"/>
            <w:gridSpan w:val="21"/>
          </w:tcPr>
          <w:p>
            <w:pPr>
              <w:spacing w:after="0"/>
              <w:rPr>
                <w:rFonts w:ascii="Arial" w:cs="Arial" w:eastAsia="Arial" w:hAnsi="Arial"/>
                <w:sz w:val="18"/>
                <w:szCs w:val="18"/>
                <w:u w:val="single" w:color="auto"/>
                <w:color w:val="0000EE"/>
              </w:rPr>
            </w:pPr>
            <w:hyperlink r:id="rId226">
              <w:r>
                <w:rPr>
                  <w:rFonts w:ascii="Arial" w:cs="Arial" w:eastAsia="Arial" w:hAnsi="Arial"/>
                  <w:sz w:val="18"/>
                  <w:szCs w:val="18"/>
                  <w:u w:val="single" w:color="auto"/>
                  <w:color w:val="0000EE"/>
                </w:rPr>
                <w:t>and the Purchasers listed therein</w:t>
              </w:r>
            </w:hyperlink>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05"/>
        </w:trPr>
        <w:tc>
          <w:tcPr>
            <w:tcW w:w="780" w:type="dxa"/>
            <w:vAlign w:val="bottom"/>
          </w:tcPr>
          <w:p>
            <w:pPr>
              <w:jc w:val="center"/>
              <w:ind w:right="170"/>
              <w:spacing w:after="0"/>
              <w:rPr>
                <w:sz w:val="20"/>
                <w:szCs w:val="20"/>
                <w:color w:val="auto"/>
              </w:rPr>
            </w:pPr>
            <w:r>
              <w:rPr>
                <w:rFonts w:ascii="Arial" w:cs="Arial" w:eastAsia="Arial" w:hAnsi="Arial"/>
                <w:sz w:val="18"/>
                <w:szCs w:val="18"/>
                <w:color w:val="auto"/>
                <w:w w:val="88"/>
              </w:rPr>
              <w:t>10.32</w:t>
            </w:r>
          </w:p>
        </w:tc>
        <w:tc>
          <w:tcPr>
            <w:tcW w:w="3180" w:type="dxa"/>
            <w:vAlign w:val="bottom"/>
            <w:gridSpan w:val="21"/>
          </w:tcPr>
          <w:p>
            <w:pPr>
              <w:spacing w:after="0"/>
              <w:rPr>
                <w:rFonts w:ascii="Arial" w:cs="Arial" w:eastAsia="Arial" w:hAnsi="Arial"/>
                <w:sz w:val="18"/>
                <w:szCs w:val="18"/>
                <w:color w:val="0000EE"/>
              </w:rPr>
            </w:pPr>
            <w:hyperlink r:id="rId227">
              <w:r>
                <w:rPr>
                  <w:rFonts w:ascii="Arial" w:cs="Arial" w:eastAsia="Arial" w:hAnsi="Arial"/>
                  <w:sz w:val="18"/>
                  <w:szCs w:val="18"/>
                  <w:color w:val="0000EE"/>
                </w:rPr>
                <w:t>Sublease, dated as of April 4, 2019, by</w:t>
              </w:r>
            </w:hyperlink>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001-36554</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9"/>
              </w:rPr>
              <w:t>5/10/2019</w:t>
            </w:r>
          </w:p>
        </w:tc>
        <w:tc>
          <w:tcPr>
            <w:tcW w:w="540" w:type="dxa"/>
            <w:vAlign w:val="bottom"/>
          </w:tcPr>
          <w:p>
            <w:pPr>
              <w:jc w:val="center"/>
              <w:ind w:left="50"/>
              <w:spacing w:after="0"/>
              <w:rPr>
                <w:sz w:val="20"/>
                <w:szCs w:val="20"/>
                <w:color w:val="auto"/>
              </w:rPr>
            </w:pPr>
            <w:r>
              <w:rPr>
                <w:rFonts w:ascii="Arial" w:cs="Arial" w:eastAsia="Arial" w:hAnsi="Arial"/>
                <w:sz w:val="18"/>
                <w:szCs w:val="18"/>
                <w:color w:val="auto"/>
                <w:w w:val="91"/>
              </w:rPr>
              <w:t>10.4</w:t>
            </w:r>
          </w:p>
        </w:tc>
      </w:tr>
      <w:tr>
        <w:trPr>
          <w:trHeight w:val="20"/>
        </w:trPr>
        <w:tc>
          <w:tcPr>
            <w:tcW w:w="7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9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27">
              <w:r>
                <w:rPr>
                  <w:rFonts w:ascii="Arial" w:cs="Arial" w:eastAsia="Arial" w:hAnsi="Arial"/>
                  <w:sz w:val="18"/>
                  <w:szCs w:val="18"/>
                  <w:color w:val="0000EE"/>
                  <w:w w:val="90"/>
                </w:rPr>
                <w:t>and among Ocular Therapeutix, Inc. and</w:t>
              </w:r>
            </w:hyperlink>
          </w:p>
        </w:tc>
        <w:tc>
          <w:tcPr>
            <w:tcW w:w="26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227">
              <w:r>
                <w:rPr>
                  <w:rFonts w:ascii="Arial" w:cs="Arial" w:eastAsia="Arial" w:hAnsi="Arial"/>
                  <w:sz w:val="18"/>
                  <w:szCs w:val="18"/>
                  <w:color w:val="0000EE"/>
                  <w:w w:val="94"/>
                </w:rPr>
                <w:t>Holcim (US) Inc.</w:t>
              </w:r>
            </w:hyperlink>
          </w:p>
        </w:tc>
        <w:tc>
          <w:tcPr>
            <w:tcW w:w="1920" w:type="dxa"/>
            <w:vAlign w:val="bottom"/>
            <w:gridSpan w:val="19"/>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26"/>
        </w:trPr>
        <w:tc>
          <w:tcPr>
            <w:tcW w:w="780" w:type="dxa"/>
            <w:vAlign w:val="bottom"/>
          </w:tcPr>
          <w:p>
            <w:pPr>
              <w:jc w:val="center"/>
              <w:ind w:right="170"/>
              <w:spacing w:after="0"/>
              <w:rPr>
                <w:sz w:val="20"/>
                <w:szCs w:val="20"/>
                <w:color w:val="auto"/>
              </w:rPr>
            </w:pPr>
            <w:r>
              <w:rPr>
                <w:rFonts w:ascii="Arial" w:cs="Arial" w:eastAsia="Arial" w:hAnsi="Arial"/>
                <w:sz w:val="18"/>
                <w:szCs w:val="18"/>
                <w:color w:val="auto"/>
                <w:w w:val="93"/>
              </w:rPr>
              <w:t>10.33+</w:t>
            </w:r>
          </w:p>
        </w:tc>
        <w:tc>
          <w:tcPr>
            <w:tcW w:w="3000" w:type="dxa"/>
            <w:vAlign w:val="bottom"/>
            <w:tcBorders>
              <w:bottom w:val="single" w:sz="8" w:color="0000EE"/>
            </w:tcBorders>
            <w:gridSpan w:val="20"/>
          </w:tcPr>
          <w:p>
            <w:pPr>
              <w:spacing w:after="0"/>
              <w:rPr>
                <w:rFonts w:ascii="Arial" w:cs="Arial" w:eastAsia="Arial" w:hAnsi="Arial"/>
                <w:sz w:val="18"/>
                <w:szCs w:val="18"/>
                <w:color w:val="0000EE"/>
                <w:w w:val="90"/>
              </w:rPr>
            </w:pPr>
            <w:hyperlink r:id="rId228">
              <w:r>
                <w:rPr>
                  <w:rFonts w:ascii="Arial" w:cs="Arial" w:eastAsia="Arial" w:hAnsi="Arial"/>
                  <w:sz w:val="18"/>
                  <w:szCs w:val="18"/>
                  <w:color w:val="0000EE"/>
                  <w:w w:val="90"/>
                </w:rPr>
                <w:t>Employment Agreement, by and between</w:t>
              </w:r>
            </w:hyperlink>
          </w:p>
        </w:tc>
        <w:tc>
          <w:tcPr>
            <w:tcW w:w="180" w:type="dxa"/>
            <w:vAlign w:val="bottom"/>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001-36554</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1"/>
              </w:rPr>
              <w:t>5/8/2020</w:t>
            </w:r>
          </w:p>
        </w:tc>
        <w:tc>
          <w:tcPr>
            <w:tcW w:w="540" w:type="dxa"/>
            <w:vAlign w:val="bottom"/>
          </w:tcPr>
          <w:p>
            <w:pPr>
              <w:jc w:val="center"/>
              <w:ind w:left="50"/>
              <w:spacing w:after="0"/>
              <w:rPr>
                <w:sz w:val="20"/>
                <w:szCs w:val="20"/>
                <w:color w:val="auto"/>
              </w:rPr>
            </w:pPr>
            <w:r>
              <w:rPr>
                <w:rFonts w:ascii="Arial" w:cs="Arial" w:eastAsia="Arial" w:hAnsi="Arial"/>
                <w:sz w:val="18"/>
                <w:szCs w:val="18"/>
                <w:color w:val="auto"/>
                <w:w w:val="91"/>
              </w:rPr>
              <w:t>10.1</w:t>
            </w:r>
          </w:p>
        </w:tc>
      </w:tr>
      <w:tr>
        <w:trPr>
          <w:trHeight w:val="196"/>
        </w:trPr>
        <w:tc>
          <w:tcPr>
            <w:tcW w:w="780" w:type="dxa"/>
            <w:vAlign w:val="bottom"/>
          </w:tcPr>
          <w:p>
            <w:pPr>
              <w:spacing w:after="0"/>
              <w:rPr>
                <w:sz w:val="17"/>
                <w:szCs w:val="17"/>
                <w:color w:val="auto"/>
              </w:rPr>
            </w:pPr>
          </w:p>
        </w:tc>
        <w:tc>
          <w:tcPr>
            <w:tcW w:w="3180" w:type="dxa"/>
            <w:vAlign w:val="bottom"/>
            <w:gridSpan w:val="21"/>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the Registrant and Patricia Kitchen,</w:t>
              </w:r>
            </w:hyperlink>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228">
              <w:r>
                <w:rPr>
                  <w:rFonts w:ascii="Arial" w:cs="Arial" w:eastAsia="Arial" w:hAnsi="Arial"/>
                  <w:sz w:val="18"/>
                  <w:szCs w:val="18"/>
                  <w:color w:val="0000EE"/>
                  <w:w w:val="90"/>
                </w:rPr>
                <w:t>dated as of April 21, 2019</w:t>
              </w:r>
            </w:hyperlink>
          </w:p>
        </w:tc>
        <w:tc>
          <w:tcPr>
            <w:tcW w:w="680" w:type="dxa"/>
            <w:vAlign w:val="bottom"/>
            <w:tcBorders>
              <w:top w:val="single" w:sz="8" w:color="0000EE"/>
            </w:tcBorders>
            <w:gridSpan w:val="4"/>
          </w:tcPr>
          <w:p>
            <w:pPr>
              <w:spacing w:after="0"/>
              <w:rPr>
                <w:sz w:val="17"/>
                <w:szCs w:val="17"/>
                <w:color w:val="auto"/>
              </w:rPr>
            </w:pPr>
          </w:p>
        </w:tc>
        <w:tc>
          <w:tcPr>
            <w:tcW w:w="620" w:type="dxa"/>
            <w:vAlign w:val="bottom"/>
            <w:gridSpan w:val="14"/>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5" w:name="page156"/>
    <w:bookmarkEnd w:id="1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90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660" w:type="dxa"/>
            <w:vAlign w:val="bottom"/>
            <w:gridSpan w:val="12"/>
            <w:vMerge w:val="restart"/>
          </w:tcPr>
          <w:p>
            <w:pPr>
              <w:ind w:left="280"/>
              <w:spacing w:after="0"/>
              <w:rPr>
                <w:sz w:val="20"/>
                <w:szCs w:val="20"/>
                <w:color w:val="auto"/>
              </w:rPr>
            </w:pPr>
            <w:r>
              <w:rPr>
                <w:rFonts w:ascii="Arial" w:cs="Arial" w:eastAsia="Arial" w:hAnsi="Arial"/>
                <w:sz w:val="14"/>
                <w:szCs w:val="14"/>
                <w:b w:val="1"/>
                <w:bCs w:val="1"/>
                <w:color w:val="auto"/>
              </w:rPr>
              <w:t>Description of Exhibit</w:t>
            </w:r>
          </w:p>
        </w:tc>
        <w:tc>
          <w:tcPr>
            <w:tcW w:w="118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Date of</w:t>
            </w:r>
          </w:p>
        </w:tc>
        <w:tc>
          <w:tcPr>
            <w:tcW w:w="58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4"/>
                <w:szCs w:val="14"/>
                <w:color w:val="auto"/>
              </w:rPr>
            </w:pPr>
          </w:p>
        </w:tc>
        <w:tc>
          <w:tcPr>
            <w:tcW w:w="2660" w:type="dxa"/>
            <w:vAlign w:val="bottom"/>
            <w:gridSpan w:val="12"/>
            <w:vMerge w:val="continue"/>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Filing</w:t>
            </w:r>
          </w:p>
        </w:tc>
        <w:tc>
          <w:tcPr>
            <w:tcW w:w="7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10.34*</w:t>
            </w:r>
          </w:p>
        </w:tc>
        <w:tc>
          <w:tcPr>
            <w:tcW w:w="140" w:type="dxa"/>
            <w:vAlign w:val="bottom"/>
          </w:tcPr>
          <w:p>
            <w:pPr>
              <w:spacing w:after="0"/>
              <w:rPr>
                <w:sz w:val="14"/>
                <w:szCs w:val="14"/>
                <w:color w:val="auto"/>
              </w:rPr>
            </w:pPr>
          </w:p>
        </w:tc>
        <w:tc>
          <w:tcPr>
            <w:tcW w:w="2700" w:type="dxa"/>
            <w:vAlign w:val="bottom"/>
            <w:tcBorders>
              <w:top w:val="single" w:sz="8" w:color="auto"/>
              <w:bottom w:val="single" w:sz="8" w:color="0000EE"/>
            </w:tcBorders>
            <w:gridSpan w:val="6"/>
          </w:tcPr>
          <w:p>
            <w:pPr>
              <w:spacing w:after="0" w:line="169" w:lineRule="exact"/>
              <w:rPr>
                <w:rFonts w:ascii="Arial" w:cs="Arial" w:eastAsia="Arial" w:hAnsi="Arial"/>
                <w:sz w:val="18"/>
                <w:szCs w:val="18"/>
                <w:color w:val="0000EE"/>
                <w:w w:val="92"/>
              </w:rPr>
            </w:pPr>
            <w:hyperlink r:id="rId230">
              <w:r>
                <w:rPr>
                  <w:rFonts w:ascii="Arial" w:cs="Arial" w:eastAsia="Arial" w:hAnsi="Arial"/>
                  <w:sz w:val="18"/>
                  <w:szCs w:val="18"/>
                  <w:color w:val="0000EE"/>
                  <w:w w:val="92"/>
                </w:rPr>
                <w:t>Amendment to Collaboration, Option</w:t>
              </w:r>
            </w:hyperlink>
          </w:p>
        </w:tc>
        <w:tc>
          <w:tcPr>
            <w:tcW w:w="300" w:type="dxa"/>
            <w:vAlign w:val="bottom"/>
            <w:tcBorders>
              <w:top w:val="single" w:sz="8" w:color="auto"/>
            </w:tcBorders>
            <w:gridSpan w:val="6"/>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001-36554</w:t>
            </w:r>
          </w:p>
        </w:tc>
        <w:tc>
          <w:tcPr>
            <w:tcW w:w="140" w:type="dxa"/>
            <w:vAlign w:val="bottom"/>
          </w:tcPr>
          <w:p>
            <w:pPr>
              <w:spacing w:after="0"/>
              <w:rPr>
                <w:sz w:val="14"/>
                <w:szCs w:val="14"/>
                <w:color w:val="auto"/>
              </w:rPr>
            </w:pPr>
          </w:p>
        </w:tc>
        <w:tc>
          <w:tcPr>
            <w:tcW w:w="9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5/14/2020</w:t>
            </w:r>
          </w:p>
        </w:tc>
        <w:tc>
          <w:tcPr>
            <w:tcW w:w="140" w:type="dxa"/>
            <w:vAlign w:val="bottom"/>
          </w:tcPr>
          <w:p>
            <w:pPr>
              <w:spacing w:after="0"/>
              <w:rPr>
                <w:sz w:val="14"/>
                <w:szCs w:val="14"/>
                <w:color w:val="auto"/>
              </w:rPr>
            </w:pPr>
          </w:p>
        </w:tc>
        <w:tc>
          <w:tcPr>
            <w:tcW w:w="580" w:type="dxa"/>
            <w:vAlign w:val="bottom"/>
            <w:tcBorders>
              <w:top w:val="single" w:sz="8" w:color="auto"/>
            </w:tcBorders>
            <w:gridSpan w:val="5"/>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13"/>
          </w:tcPr>
          <w:p>
            <w:pPr>
              <w:spacing w:after="0" w:line="196" w:lineRule="exact"/>
              <w:rPr>
                <w:rFonts w:ascii="Arial" w:cs="Arial" w:eastAsia="Arial" w:hAnsi="Arial"/>
                <w:sz w:val="18"/>
                <w:szCs w:val="18"/>
                <w:color w:val="0000EE"/>
                <w:w w:val="97"/>
              </w:rPr>
            </w:pPr>
            <w:hyperlink r:id="rId230">
              <w:r>
                <w:rPr>
                  <w:rFonts w:ascii="Arial" w:cs="Arial" w:eastAsia="Arial" w:hAnsi="Arial"/>
                  <w:sz w:val="18"/>
                  <w:szCs w:val="18"/>
                  <w:color w:val="0000EE"/>
                  <w:w w:val="97"/>
                </w:rPr>
                <w:t>and License Agreement, by and between</w:t>
              </w:r>
            </w:hyperlink>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13"/>
          </w:tcPr>
          <w:p>
            <w:pPr>
              <w:spacing w:after="0" w:line="196" w:lineRule="exact"/>
              <w:rPr>
                <w:rFonts w:ascii="Arial" w:cs="Arial" w:eastAsia="Arial" w:hAnsi="Arial"/>
                <w:sz w:val="18"/>
                <w:szCs w:val="18"/>
                <w:color w:val="0000EE"/>
                <w:w w:val="94"/>
              </w:rPr>
            </w:pPr>
            <w:hyperlink r:id="rId230">
              <w:r>
                <w:rPr>
                  <w:rFonts w:ascii="Arial" w:cs="Arial" w:eastAsia="Arial" w:hAnsi="Arial"/>
                  <w:sz w:val="18"/>
                  <w:szCs w:val="18"/>
                  <w:color w:val="0000EE"/>
                  <w:w w:val="94"/>
                </w:rPr>
                <w:t>the Registrant and Regeneron, dated May</w:t>
              </w:r>
            </w:hyperlink>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30">
              <w:r>
                <w:rPr>
                  <w:rFonts w:ascii="Arial" w:cs="Arial" w:eastAsia="Arial" w:hAnsi="Arial"/>
                  <w:sz w:val="18"/>
                  <w:szCs w:val="18"/>
                  <w:color w:val="0000EE"/>
                  <w:w w:val="86"/>
                </w:rPr>
                <w:t>8, 2020</w:t>
              </w:r>
            </w:hyperlink>
          </w:p>
        </w:tc>
        <w:tc>
          <w:tcPr>
            <w:tcW w:w="7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jc w:val="center"/>
              <w:spacing w:after="0"/>
              <w:rPr>
                <w:sz w:val="20"/>
                <w:szCs w:val="20"/>
                <w:color w:val="auto"/>
              </w:rPr>
            </w:pPr>
            <w:r>
              <w:rPr>
                <w:rFonts w:ascii="Arial" w:cs="Arial" w:eastAsia="Arial" w:hAnsi="Arial"/>
                <w:sz w:val="18"/>
                <w:szCs w:val="18"/>
                <w:color w:val="auto"/>
                <w:w w:val="92"/>
              </w:rPr>
              <w:t>10.35*</w:t>
            </w:r>
          </w:p>
        </w:tc>
        <w:tc>
          <w:tcPr>
            <w:tcW w:w="14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98"/>
              </w:rPr>
            </w:pPr>
            <w:hyperlink r:id="rId231">
              <w:r>
                <w:rPr>
                  <w:rFonts w:ascii="Arial" w:cs="Arial" w:eastAsia="Arial" w:hAnsi="Arial"/>
                  <w:sz w:val="18"/>
                  <w:szCs w:val="18"/>
                  <w:color w:val="0000EE"/>
                  <w:w w:val="98"/>
                </w:rPr>
                <w:t>License Agreement, by and between the</w:t>
              </w:r>
            </w:hyperlink>
          </w:p>
        </w:tc>
        <w:tc>
          <w:tcPr>
            <w:tcW w:w="118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10-Q</w:t>
            </w:r>
          </w:p>
        </w:tc>
        <w:tc>
          <w:tcPr>
            <w:tcW w:w="1120" w:type="dxa"/>
            <w:vAlign w:val="bottom"/>
          </w:tcPr>
          <w:p>
            <w:pPr>
              <w:ind w:left="20"/>
              <w:spacing w:after="0"/>
              <w:rPr>
                <w:sz w:val="20"/>
                <w:szCs w:val="20"/>
                <w:color w:val="auto"/>
              </w:rPr>
            </w:pPr>
            <w:r>
              <w:rPr>
                <w:rFonts w:ascii="Arial" w:cs="Arial" w:eastAsia="Arial" w:hAnsi="Arial"/>
                <w:sz w:val="18"/>
                <w:szCs w:val="18"/>
                <w:color w:val="auto"/>
              </w:rPr>
              <w:t>001-36554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11/5/2020</w:t>
            </w:r>
          </w:p>
        </w:tc>
        <w:tc>
          <w:tcPr>
            <w:tcW w:w="140" w:type="dxa"/>
            <w:vAlign w:val="bottom"/>
          </w:tcPr>
          <w:p>
            <w:pPr>
              <w:spacing w:after="0"/>
              <w:rPr>
                <w:sz w:val="24"/>
                <w:szCs w:val="24"/>
                <w:color w:val="auto"/>
              </w:rPr>
            </w:pPr>
          </w:p>
        </w:tc>
        <w:tc>
          <w:tcPr>
            <w:tcW w:w="580" w:type="dxa"/>
            <w:vAlign w:val="bottom"/>
            <w:gridSpan w:val="5"/>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top w:val="single" w:sz="8" w:color="0000EE"/>
            </w:tcBorders>
            <w:gridSpan w:val="9"/>
          </w:tcPr>
          <w:p>
            <w:pPr>
              <w:spacing w:after="0" w:line="196" w:lineRule="exact"/>
              <w:rPr>
                <w:rFonts w:ascii="Arial" w:cs="Arial" w:eastAsia="Arial" w:hAnsi="Arial"/>
                <w:sz w:val="18"/>
                <w:szCs w:val="18"/>
                <w:color w:val="0000EE"/>
                <w:w w:val="96"/>
              </w:rPr>
            </w:pPr>
            <w:hyperlink r:id="rId231">
              <w:r>
                <w:rPr>
                  <w:rFonts w:ascii="Arial" w:cs="Arial" w:eastAsia="Arial" w:hAnsi="Arial"/>
                  <w:sz w:val="18"/>
                  <w:szCs w:val="18"/>
                  <w:color w:val="0000EE"/>
                  <w:w w:val="96"/>
                </w:rPr>
                <w:t>Registrant and AffaMed Therapeutics</w:t>
              </w:r>
            </w:hyperlink>
          </w:p>
        </w:tc>
        <w:tc>
          <w:tcPr>
            <w:tcW w:w="28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13"/>
          </w:tcPr>
          <w:p>
            <w:pPr>
              <w:spacing w:after="0"/>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Limited, dated as of October 29, 2020</w:t>
              </w:r>
            </w:hyperlink>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60" w:type="dxa"/>
            <w:vAlign w:val="bottom"/>
          </w:tcPr>
          <w:p>
            <w:pPr>
              <w:jc w:val="center"/>
              <w:spacing w:after="0"/>
              <w:rPr>
                <w:sz w:val="20"/>
                <w:szCs w:val="20"/>
                <w:color w:val="auto"/>
              </w:rPr>
            </w:pPr>
            <w:r>
              <w:rPr>
                <w:rFonts w:ascii="Arial" w:cs="Arial" w:eastAsia="Arial" w:hAnsi="Arial"/>
                <w:sz w:val="18"/>
                <w:szCs w:val="18"/>
                <w:color w:val="auto"/>
                <w:w w:val="92"/>
              </w:rPr>
              <w:t>10.36*</w:t>
            </w:r>
          </w:p>
        </w:tc>
        <w:tc>
          <w:tcPr>
            <w:tcW w:w="14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Supplement to License Agreement, by</w:t>
              </w:r>
            </w:hyperlink>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13"/>
          </w:tcPr>
          <w:p>
            <w:pPr>
              <w:spacing w:after="0" w:line="196" w:lineRule="exact"/>
              <w:rPr>
                <w:rFonts w:ascii="Arial" w:cs="Arial" w:eastAsia="Arial" w:hAnsi="Arial"/>
                <w:sz w:val="18"/>
                <w:szCs w:val="18"/>
                <w:color w:val="0000EE"/>
                <w:w w:val="97"/>
              </w:rPr>
            </w:pPr>
            <w:hyperlink w:anchor="page223">
              <w:r>
                <w:rPr>
                  <w:rFonts w:ascii="Arial" w:cs="Arial" w:eastAsia="Arial" w:hAnsi="Arial"/>
                  <w:sz w:val="18"/>
                  <w:szCs w:val="18"/>
                  <w:color w:val="0000EE"/>
                  <w:w w:val="97"/>
                </w:rPr>
                <w:t>and between the Registrant and AffaMed</w:t>
              </w:r>
            </w:hyperlink>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23">
              <w:r>
                <w:rPr>
                  <w:rFonts w:ascii="Arial" w:cs="Arial" w:eastAsia="Arial" w:hAnsi="Arial"/>
                  <w:sz w:val="18"/>
                  <w:szCs w:val="18"/>
                  <w:color w:val="0000EE"/>
                  <w:w w:val="90"/>
                </w:rPr>
                <w:t>Therapeutics Limited, dated as of</w:t>
              </w:r>
            </w:hyperlink>
          </w:p>
        </w:tc>
        <w:tc>
          <w:tcPr>
            <w:tcW w:w="540" w:type="dxa"/>
            <w:vAlign w:val="bottom"/>
            <w:tcBorders>
              <w:top w:val="single" w:sz="8" w:color="0000EE"/>
            </w:tcBorders>
            <w:gridSpan w:val="7"/>
          </w:tcPr>
          <w:p>
            <w:pPr>
              <w:spacing w:after="0"/>
              <w:rPr>
                <w:sz w:val="17"/>
                <w:szCs w:val="17"/>
                <w:color w:val="auto"/>
              </w:rPr>
            </w:pPr>
          </w:p>
        </w:tc>
        <w:tc>
          <w:tcPr>
            <w:tcW w:w="2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23">
              <w:r>
                <w:rPr>
                  <w:rFonts w:ascii="Arial" w:cs="Arial" w:eastAsia="Arial" w:hAnsi="Arial"/>
                  <w:sz w:val="18"/>
                  <w:szCs w:val="18"/>
                  <w:color w:val="0000EE"/>
                  <w:w w:val="87"/>
                </w:rPr>
                <w:t>January 18, 2021</w:t>
              </w:r>
            </w:hyperlink>
          </w:p>
        </w:tc>
        <w:tc>
          <w:tcPr>
            <w:tcW w:w="196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4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Subsidiaries of the Registrant</w:t>
              </w:r>
            </w:hyperlink>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7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4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u w:val="single" w:color="auto"/>
                <w:color w:val="0000EE"/>
                <w:w w:val="96"/>
              </w:rPr>
            </w:pPr>
            <w:hyperlink w:anchor="page226">
              <w:r>
                <w:rPr>
                  <w:rFonts w:ascii="Arial" w:cs="Arial" w:eastAsia="Arial" w:hAnsi="Arial"/>
                  <w:sz w:val="18"/>
                  <w:szCs w:val="18"/>
                  <w:u w:val="single" w:color="auto"/>
                  <w:color w:val="0000EE"/>
                  <w:w w:val="96"/>
                </w:rPr>
                <w:t>Consent of PricewaterhouseCoopers LLP</w:t>
              </w:r>
            </w:hyperlink>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91"/>
        </w:trPr>
        <w:tc>
          <w:tcPr>
            <w:tcW w:w="7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7420" w:type="dxa"/>
            <w:vAlign w:val="bottom"/>
            <w:gridSpan w:val="27"/>
          </w:tcPr>
          <w:p>
            <w:pPr>
              <w:spacing w:after="0"/>
              <w:rPr>
                <w:rFonts w:ascii="Arial" w:cs="Arial" w:eastAsia="Arial" w:hAnsi="Arial"/>
                <w:sz w:val="18"/>
                <w:szCs w:val="18"/>
                <w:color w:val="0000EE"/>
                <w:w w:val="97"/>
              </w:rPr>
            </w:pPr>
            <w:hyperlink w:anchor="page227">
              <w:r>
                <w:rPr>
                  <w:rFonts w:ascii="Arial" w:cs="Arial" w:eastAsia="Arial" w:hAnsi="Arial"/>
                  <w:sz w:val="18"/>
                  <w:szCs w:val="18"/>
                  <w:color w:val="0000EE"/>
                  <w:w w:val="97"/>
                </w:rPr>
                <w:t>Certification of principal executive officer pursuant to Rule 13a-14(a)/15d-14(a) of the Securities</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227">
              <w:r>
                <w:rPr>
                  <w:rFonts w:ascii="Arial" w:cs="Arial" w:eastAsia="Arial" w:hAnsi="Arial"/>
                  <w:sz w:val="18"/>
                  <w:szCs w:val="18"/>
                  <w:color w:val="0000EE"/>
                  <w:w w:val="89"/>
                </w:rPr>
                <w:t>Exchange Act of 1934, as amended</w:t>
              </w:r>
            </w:hyperlink>
          </w:p>
        </w:tc>
        <w:tc>
          <w:tcPr>
            <w:tcW w:w="640" w:type="dxa"/>
            <w:vAlign w:val="bottom"/>
            <w:tcBorders>
              <w:top w:val="single" w:sz="8" w:color="0000EE"/>
            </w:tcBorders>
            <w:gridSpan w:val="8"/>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7420" w:type="dxa"/>
            <w:vAlign w:val="bottom"/>
            <w:gridSpan w:val="27"/>
          </w:tcPr>
          <w:p>
            <w:pPr>
              <w:spacing w:after="0"/>
              <w:rPr>
                <w:rFonts w:ascii="Arial" w:cs="Arial" w:eastAsia="Arial" w:hAnsi="Arial"/>
                <w:sz w:val="18"/>
                <w:szCs w:val="18"/>
                <w:color w:val="0000EE"/>
                <w:w w:val="98"/>
              </w:rPr>
            </w:pPr>
            <w:hyperlink w:anchor="page228">
              <w:r>
                <w:rPr>
                  <w:rFonts w:ascii="Arial" w:cs="Arial" w:eastAsia="Arial" w:hAnsi="Arial"/>
                  <w:sz w:val="18"/>
                  <w:szCs w:val="18"/>
                  <w:color w:val="0000EE"/>
                  <w:w w:val="98"/>
                </w:rPr>
                <w:t>Certification of principal financial officer pursuant to Rule 13a-14(a)/15d-14(a) of the Securities</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Exchange Act of 1934, as amended</w:t>
              </w:r>
            </w:hyperlink>
          </w:p>
        </w:tc>
        <w:tc>
          <w:tcPr>
            <w:tcW w:w="2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40" w:type="dxa"/>
            <w:vAlign w:val="bottom"/>
          </w:tcPr>
          <w:p>
            <w:pPr>
              <w:spacing w:after="0"/>
              <w:rPr>
                <w:sz w:val="24"/>
                <w:szCs w:val="24"/>
                <w:color w:val="auto"/>
              </w:rPr>
            </w:pPr>
          </w:p>
        </w:tc>
        <w:tc>
          <w:tcPr>
            <w:tcW w:w="7420" w:type="dxa"/>
            <w:vAlign w:val="bottom"/>
            <w:gridSpan w:val="27"/>
          </w:tcPr>
          <w:p>
            <w:pPr>
              <w:spacing w:after="0"/>
              <w:rPr>
                <w:rFonts w:ascii="Arial" w:cs="Arial" w:eastAsia="Arial" w:hAnsi="Arial"/>
                <w:sz w:val="18"/>
                <w:szCs w:val="18"/>
                <w:color w:val="0000EE"/>
                <w:w w:val="98"/>
              </w:rPr>
            </w:pPr>
            <w:hyperlink w:anchor="page229">
              <w:r>
                <w:rPr>
                  <w:rFonts w:ascii="Arial" w:cs="Arial" w:eastAsia="Arial" w:hAnsi="Arial"/>
                  <w:sz w:val="18"/>
                  <w:szCs w:val="18"/>
                  <w:color w:val="0000EE"/>
                  <w:w w:val="98"/>
                </w:rPr>
                <w:t>Certification of principal executive officer pursuant to 18 U.S.C. §1350, as adopted pursuant to</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229">
              <w:r>
                <w:rPr>
                  <w:rFonts w:ascii="Arial" w:cs="Arial" w:eastAsia="Arial" w:hAnsi="Arial"/>
                  <w:sz w:val="18"/>
                  <w:szCs w:val="18"/>
                  <w:color w:val="0000EE"/>
                  <w:w w:val="90"/>
                </w:rPr>
                <w:t>Section 906 of the Sarbanes-Oxley Act of 2002</w:t>
              </w:r>
            </w:hyperlink>
          </w:p>
        </w:tc>
        <w:tc>
          <w:tcPr>
            <w:tcW w:w="960" w:type="dxa"/>
            <w:vAlign w:val="bottom"/>
            <w:tcBorders>
              <w:top w:val="single" w:sz="8" w:color="0000EE"/>
            </w:tcBorders>
            <w:gridSpan w:val="3"/>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40" w:type="dxa"/>
            <w:vAlign w:val="bottom"/>
          </w:tcPr>
          <w:p>
            <w:pPr>
              <w:spacing w:after="0"/>
              <w:rPr>
                <w:sz w:val="24"/>
                <w:szCs w:val="24"/>
                <w:color w:val="auto"/>
              </w:rPr>
            </w:pPr>
          </w:p>
        </w:tc>
        <w:tc>
          <w:tcPr>
            <w:tcW w:w="7420" w:type="dxa"/>
            <w:vAlign w:val="bottom"/>
            <w:gridSpan w:val="27"/>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Certification of principal financial officer pursuant to 18 U.S.C. §1350, as adopted pursuant to</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230">
              <w:r>
                <w:rPr>
                  <w:rFonts w:ascii="Arial" w:cs="Arial" w:eastAsia="Arial" w:hAnsi="Arial"/>
                  <w:sz w:val="18"/>
                  <w:szCs w:val="18"/>
                  <w:color w:val="0000EE"/>
                  <w:w w:val="90"/>
                </w:rPr>
                <w:t>Section 906 of the Sarbanes-Oxley Act of 2002</w:t>
              </w:r>
            </w:hyperlink>
          </w:p>
        </w:tc>
        <w:tc>
          <w:tcPr>
            <w:tcW w:w="960" w:type="dxa"/>
            <w:vAlign w:val="bottom"/>
            <w:tcBorders>
              <w:top w:val="single" w:sz="8" w:color="0000EE"/>
            </w:tcBorders>
            <w:gridSpan w:val="3"/>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101.INS</w:t>
            </w:r>
          </w:p>
        </w:tc>
        <w:tc>
          <w:tcPr>
            <w:tcW w:w="7420" w:type="dxa"/>
            <w:vAlign w:val="bottom"/>
            <w:gridSpan w:val="27"/>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 Data File</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40" w:type="dxa"/>
            <w:vAlign w:val="bottom"/>
            <w:gridSpan w:val="19"/>
          </w:tcPr>
          <w:p>
            <w:pPr>
              <w:spacing w:after="0"/>
              <w:rPr>
                <w:sz w:val="20"/>
                <w:szCs w:val="20"/>
                <w:color w:val="auto"/>
              </w:rPr>
            </w:pPr>
            <w:r>
              <w:rPr>
                <w:rFonts w:ascii="Arial" w:cs="Arial" w:eastAsia="Arial" w:hAnsi="Arial"/>
                <w:sz w:val="18"/>
                <w:szCs w:val="18"/>
                <w:color w:val="auto"/>
              </w:rPr>
              <w:t>because XBRL tags are embedded within the Inline XBRL document)</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101.SCH</w:t>
            </w:r>
          </w:p>
        </w:tc>
        <w:tc>
          <w:tcPr>
            <w:tcW w:w="438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101.CAL</w:t>
            </w:r>
          </w:p>
        </w:tc>
        <w:tc>
          <w:tcPr>
            <w:tcW w:w="564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101.LAB</w:t>
            </w:r>
          </w:p>
        </w:tc>
        <w:tc>
          <w:tcPr>
            <w:tcW w:w="4380" w:type="dxa"/>
            <w:vAlign w:val="bottom"/>
            <w:gridSpan w:val="17"/>
          </w:tcPr>
          <w:p>
            <w:pPr>
              <w:spacing w:after="0"/>
              <w:rPr>
                <w:sz w:val="20"/>
                <w:szCs w:val="20"/>
                <w:color w:val="auto"/>
              </w:rPr>
            </w:pPr>
            <w:r>
              <w:rPr>
                <w:rFonts w:ascii="Arial" w:cs="Arial" w:eastAsia="Arial" w:hAnsi="Arial"/>
                <w:sz w:val="18"/>
                <w:szCs w:val="18"/>
                <w:color w:val="auto"/>
                <w:w w:val="91"/>
              </w:rPr>
              <w:t>Inline XBRL Taxonomy Extension Label Linkbase Database</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101.PRE</w:t>
            </w:r>
          </w:p>
        </w:tc>
        <w:tc>
          <w:tcPr>
            <w:tcW w:w="564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101.DEF</w:t>
            </w:r>
          </w:p>
        </w:tc>
        <w:tc>
          <w:tcPr>
            <w:tcW w:w="564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8"/>
        </w:trPr>
        <w:tc>
          <w:tcPr>
            <w:tcW w:w="76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40" w:type="dxa"/>
            <w:vAlign w:val="bottom"/>
          </w:tcPr>
          <w:p>
            <w:pPr>
              <w:spacing w:after="0"/>
              <w:rPr>
                <w:sz w:val="24"/>
                <w:szCs w:val="24"/>
                <w:color w:val="auto"/>
              </w:rPr>
            </w:pPr>
          </w:p>
        </w:tc>
        <w:tc>
          <w:tcPr>
            <w:tcW w:w="7420" w:type="dxa"/>
            <w:vAlign w:val="bottom"/>
            <w:gridSpan w:val="27"/>
          </w:tcPr>
          <w:p>
            <w:pPr>
              <w:spacing w:after="0"/>
              <w:rPr>
                <w:sz w:val="20"/>
                <w:szCs w:val="20"/>
                <w:color w:val="auto"/>
              </w:rPr>
            </w:pPr>
            <w:r>
              <w:rPr>
                <w:rFonts w:ascii="Arial" w:cs="Arial" w:eastAsia="Arial" w:hAnsi="Arial"/>
                <w:sz w:val="18"/>
                <w:szCs w:val="18"/>
                <w:color w:val="auto"/>
                <w:w w:val="95"/>
              </w:rPr>
              <w:t>The cover page from this Annual Report on Form 10-K, formatted in Inline XBRL and contained in</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13"/>
          </w:tcPr>
          <w:p>
            <w:pPr>
              <w:spacing w:after="0"/>
              <w:rPr>
                <w:sz w:val="20"/>
                <w:szCs w:val="20"/>
                <w:color w:val="auto"/>
              </w:rPr>
            </w:pPr>
            <w:r>
              <w:rPr>
                <w:rFonts w:ascii="Arial" w:cs="Arial" w:eastAsia="Arial" w:hAnsi="Arial"/>
                <w:sz w:val="18"/>
                <w:szCs w:val="18"/>
                <w:color w:val="auto"/>
              </w:rPr>
              <w:t>Exhibit 101</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260" w:right="339" w:hanging="210"/>
        <w:spacing w:after="0" w:line="277" w:lineRule="auto"/>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spacing w:after="0" w:line="170" w:lineRule="exact"/>
        <w:rPr>
          <w:sz w:val="20"/>
          <w:szCs w:val="20"/>
          <w:color w:val="auto"/>
        </w:rPr>
      </w:pPr>
    </w:p>
    <w:p>
      <w:pPr>
        <w:ind w:left="260" w:right="219" w:hanging="210"/>
        <w:spacing w:after="0" w:line="277" w:lineRule="auto"/>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filed in response to Item 15(a)(3) of the Instructions to the Annual Report on Form 10-K.</w:t>
      </w:r>
    </w:p>
    <w:p>
      <w:pPr>
        <w:spacing w:after="0" w:line="170" w:lineRule="exact"/>
        <w:rPr>
          <w:sz w:val="20"/>
          <w:szCs w:val="20"/>
          <w:color w:val="auto"/>
        </w:rPr>
      </w:pPr>
    </w:p>
    <w:p>
      <w:pPr>
        <w:ind w:left="380" w:hanging="330"/>
        <w:spacing w:after="0"/>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601(b)(10)(iv) of Regulation S-K.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6" w:name="page157"/>
    <w:bookmarkEnd w:id="1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79" w:firstLine="441"/>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11, 2021</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OCULAR THERAPEUTIX, INC.</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Donald Notman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25971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Donald Notman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and Accounting Officer)</w:t>
      </w:r>
    </w:p>
    <w:p>
      <w:pPr>
        <w:spacing w:after="0" w:line="238" w:lineRule="exact"/>
        <w:rPr>
          <w:sz w:val="20"/>
          <w:szCs w:val="20"/>
          <w:color w:val="auto"/>
        </w:rPr>
      </w:pPr>
    </w:p>
    <w:p>
      <w:pPr>
        <w:ind w:left="60" w:right="339"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4"/>
                <w:szCs w:val="14"/>
                <w:color w:val="auto"/>
              </w:rPr>
            </w:pPr>
          </w:p>
        </w:tc>
        <w:tc>
          <w:tcPr>
            <w:tcW w:w="390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58"/>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Antony Mattessich</w:t>
            </w:r>
          </w:p>
        </w:tc>
        <w:tc>
          <w:tcPr>
            <w:tcW w:w="4360" w:type="dxa"/>
            <w:vAlign w:val="bottom"/>
            <w:gridSpan w:val="3"/>
          </w:tcPr>
          <w:p>
            <w:pPr>
              <w:ind w:left="200"/>
              <w:spacing w:after="0"/>
              <w:rPr>
                <w:sz w:val="20"/>
                <w:szCs w:val="20"/>
                <w:color w:val="auto"/>
              </w:rPr>
            </w:pPr>
            <w:r>
              <w:rPr>
                <w:rFonts w:ascii="Arial" w:cs="Arial" w:eastAsia="Arial" w:hAnsi="Arial"/>
                <w:sz w:val="18"/>
                <w:szCs w:val="18"/>
                <w:color w:val="auto"/>
              </w:rPr>
              <w:t>President and Chief Executive Officer</w:t>
            </w:r>
          </w:p>
        </w:tc>
        <w:tc>
          <w:tcPr>
            <w:tcW w:w="14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Antony Mattessich</w:t>
            </w:r>
          </w:p>
        </w:tc>
        <w:tc>
          <w:tcPr>
            <w:tcW w:w="220" w:type="dxa"/>
            <w:vAlign w:val="bottom"/>
          </w:tcPr>
          <w:p>
            <w:pPr>
              <w:spacing w:after="0"/>
              <w:rPr>
                <w:sz w:val="19"/>
                <w:szCs w:val="19"/>
                <w:color w:val="auto"/>
              </w:rPr>
            </w:pPr>
          </w:p>
        </w:tc>
        <w:tc>
          <w:tcPr>
            <w:tcW w:w="414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357"/>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Notman</w:t>
            </w:r>
          </w:p>
        </w:tc>
        <w:tc>
          <w:tcPr>
            <w:tcW w:w="436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Donald Notman</w:t>
            </w:r>
          </w:p>
        </w:tc>
        <w:tc>
          <w:tcPr>
            <w:tcW w:w="4360" w:type="dxa"/>
            <w:vAlign w:val="bottom"/>
            <w:gridSpan w:val="3"/>
          </w:tcPr>
          <w:p>
            <w:pPr>
              <w:ind w:left="200"/>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1460" w:type="dxa"/>
            <w:vAlign w:val="bottom"/>
          </w:tcPr>
          <w:p>
            <w:pPr>
              <w:spacing w:after="0"/>
              <w:rPr>
                <w:sz w:val="20"/>
                <w:szCs w:val="20"/>
                <w:color w:val="auto"/>
              </w:rPr>
            </w:pPr>
          </w:p>
        </w:tc>
      </w:tr>
      <w:tr>
        <w:trPr>
          <w:trHeight w:val="438"/>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Warden</w:t>
            </w:r>
          </w:p>
        </w:tc>
        <w:tc>
          <w:tcPr>
            <w:tcW w:w="4360" w:type="dxa"/>
            <w:vAlign w:val="bottom"/>
            <w:gridSpan w:val="3"/>
          </w:tcPr>
          <w:p>
            <w:pPr>
              <w:ind w:left="200"/>
              <w:spacing w:after="0"/>
              <w:rPr>
                <w:sz w:val="20"/>
                <w:szCs w:val="20"/>
                <w:color w:val="auto"/>
              </w:rPr>
            </w:pPr>
            <w:r>
              <w:rPr>
                <w:rFonts w:ascii="Arial" w:cs="Arial" w:eastAsia="Arial" w:hAnsi="Arial"/>
                <w:sz w:val="18"/>
                <w:szCs w:val="18"/>
                <w:color w:val="auto"/>
              </w:rPr>
              <w:t>Chairman of the Board</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Charles Warden</w:t>
            </w:r>
          </w:p>
        </w:tc>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8"/>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Heier, M.D.</w:t>
            </w:r>
          </w:p>
        </w:tc>
        <w:tc>
          <w:tcPr>
            <w:tcW w:w="43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Jeffrey S. Heier, M.D.</w:t>
            </w:r>
          </w:p>
        </w:tc>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8"/>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Seung Suh Hong, PH.D.</w:t>
            </w:r>
          </w:p>
        </w:tc>
        <w:tc>
          <w:tcPr>
            <w:tcW w:w="43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Seung Suh Hong, PH.D.</w:t>
            </w:r>
          </w:p>
        </w:tc>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8"/>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Lindstrom, M.D.</w:t>
            </w:r>
          </w:p>
        </w:tc>
        <w:tc>
          <w:tcPr>
            <w:tcW w:w="43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Richard L. Lindstrom, M.D.</w:t>
            </w:r>
          </w:p>
        </w:tc>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8"/>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A. Peacock</w:t>
            </w:r>
          </w:p>
        </w:tc>
        <w:tc>
          <w:tcPr>
            <w:tcW w:w="43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Bruce A. Peacock</w:t>
            </w:r>
          </w:p>
        </w:tc>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8"/>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Leslie Williams</w:t>
            </w:r>
          </w:p>
        </w:tc>
        <w:tc>
          <w:tcPr>
            <w:tcW w:w="43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Leslie Williams</w:t>
            </w:r>
          </w:p>
        </w:tc>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221"/>
        </w:trPr>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57" w:name="page158"/>
    <w:bookmarkEnd w:id="1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OCULAR THERAPEUTIX,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260" w:type="dxa"/>
            <w:vAlign w:val="bottom"/>
            <w:vMerge w:val="restart"/>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Report of Independent Registered Public Accounting Firm</w:t>
              </w:r>
            </w:hyperlink>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8260" w:type="dxa"/>
            <w:vAlign w:val="bottom"/>
            <w:vMerge w:val="continue"/>
          </w:tcPr>
          <w:p>
            <w:pPr>
              <w:spacing w:after="0"/>
              <w:rPr>
                <w:sz w:val="16"/>
                <w:szCs w:val="16"/>
                <w:color w:val="auto"/>
              </w:rPr>
            </w:pP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8260" w:type="dxa"/>
            <w:vAlign w:val="bottom"/>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Consolidated Balance Sheets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8260" w:type="dxa"/>
            <w:vAlign w:val="bottom"/>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Consolidated Statements of Operations and Comprehensive Loss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826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Consolidated Statements of Changes in Stockholders’ Equity (Deficit)</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8260" w:type="dxa"/>
            <w:vAlign w:val="bottom"/>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Consolidated Statements of Cash Flows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30"/>
        </w:trPr>
        <w:tc>
          <w:tcPr>
            <w:tcW w:w="8260" w:type="dxa"/>
            <w:vAlign w:val="bottom"/>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Notes to Consolidated Financial Statements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8" w:name="page159"/>
    <w:bookmarkEnd w:id="1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 of Ocular Therapeutix, Inc.</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85"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We have audited the accompanying consolidated balance sheets of Ocular Therapeutix, Inc. and its subsidiary (the “Company”) as of December 31, 2020 and 2019, and the related consolidated statements of operations and comprehensive loss, of changes in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98"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4"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of the Derivative Liability</w:t>
      </w:r>
    </w:p>
    <w:p>
      <w:pPr>
        <w:spacing w:after="0" w:line="185"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As described in Note 4 to the consolidated financial statements, the Company’s derivative liability balance was $98.3 million as of December 31, 2020 and the change in fair value recorded in other income (expense), net was expense of $86.2 million. The derivative liability was recorded at fair value upon the issuance of the 2026 convertible notes and is subsequently remeasured to fair value at each reporting period. The derivative liability was initially valued and remeasured using a “with-and-without” method. The “with-and-without” methodology involves valuing the whole instrument on an as-is basis and then valuing the instrument without the embedded conversion option. The difference between the entire instrument with the embedded conversion option compared to the instrument without the embedded conversion option is the fair value of the derivative, recorded as the derivative liability. The fair value of the 2026</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9" w:name="page160"/>
    <w:bookmarkEnd w:id="1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convertible notes with and without the conversion option is estimated using a binomial lattice approach. The main inputs to valuing the 2026 convertible notes with the conversion option as of December 31, 2020 include the Company’s stock price on the valuation date, the expected annual volatility of the Company’s stock and the bond yield.</w:t>
      </w:r>
    </w:p>
    <w:p>
      <w:pPr>
        <w:spacing w:after="0" w:line="122"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the derivative liability is a critical audit matter are the significant judgment by management to determine the fair value of the derivative liability using a binomial lattice model; this in turn led to a high degree of auditor judgment, subjectivity, and effort in performing procedures and in evaluating the audit evidence obtained related to the valuation of the derivative liability and management’s significant assumption related to the bond yield. In addition, the audit effort involved the use of professionals with specialized skill and knowledge.</w:t>
      </w:r>
    </w:p>
    <w:p>
      <w:pPr>
        <w:spacing w:after="0" w:line="152"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among others, (i) the involvement of professionals with specialized skill and knowledge to assist in developing an independent range of fair values for the derivative liability and (ii) comparing the independent estimate to management’s fair value estimate to evaluate the reasonableness of management’s assumptions. Developing the independent estimate involved testing the completeness and accuracy of the inputs provided by management and evaluating management’s assumptions related to bond yield based on observable market yield movements.</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11, 2021</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0" w:name="page161"/>
    <w:bookmarkEnd w:id="1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OCULAR THERAPEUTIX,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228,057</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54,437</w:t>
            </w: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10,151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assets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261,863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78,740</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2,709</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 net of discount, current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680" w:type="dxa"/>
            <w:vAlign w:val="bottom"/>
          </w:tcPr>
          <w:p>
            <w:pPr>
              <w:ind w:left="7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12,029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8,905</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25,007</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 convertible notes, net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24,305</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185,768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82,370</w:t>
            </w:r>
          </w:p>
        </w:tc>
        <w:tc>
          <w:tcPr>
            <w:tcW w:w="0" w:type="dxa"/>
            <w:vAlign w:val="bottom"/>
          </w:tcPr>
          <w:p>
            <w:pPr>
              <w:spacing w:after="0"/>
              <w:rPr>
                <w:sz w:val="1"/>
                <w:szCs w:val="1"/>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80" w:type="dxa"/>
            <w:vAlign w:val="bottom"/>
          </w:tcPr>
          <w:p>
            <w:pPr>
              <w:ind w:left="420"/>
              <w:spacing w:after="0" w:line="201" w:lineRule="exact"/>
              <w:rPr>
                <w:sz w:val="20"/>
                <w:szCs w:val="20"/>
                <w:color w:val="auto"/>
              </w:rPr>
            </w:pPr>
            <w:r>
              <w:rPr>
                <w:rFonts w:ascii="Arial" w:cs="Arial" w:eastAsia="Arial" w:hAnsi="Arial"/>
                <w:sz w:val="18"/>
                <w:szCs w:val="18"/>
                <w:color w:val="auto"/>
                <w:w w:val="90"/>
              </w:rPr>
              <w:t>Preferred stock, $0.0001 par value; 5,000,000 shares authorized and no shares issued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420"/>
              <w:spacing w:after="0"/>
              <w:rPr>
                <w:sz w:val="20"/>
                <w:szCs w:val="20"/>
                <w:color w:val="auto"/>
              </w:rPr>
            </w:pPr>
            <w:r>
              <w:rPr>
                <w:rFonts w:ascii="Arial" w:cs="Arial" w:eastAsia="Arial" w:hAnsi="Arial"/>
                <w:sz w:val="18"/>
                <w:szCs w:val="18"/>
                <w:color w:val="auto"/>
              </w:rPr>
              <w:t>or outstanding at December 31, 2020 and December 31, 2019,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4"/>
              </w:rPr>
              <w:t>Common stock, $0.0001 par value; 100,000,000 shares authorized and 75,996,732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50,333,559 shares issued and outstanding at December 31, 2020 and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2019,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615,338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379,980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(539,251)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(383,615)</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liabilities and stockholders’ equity (deficit)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261,863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1" w:name="page162"/>
    <w:bookmarkEnd w:id="1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OCULAR THERAPEUTIX,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20"/>
              <w:spacing w:after="0"/>
              <w:rPr>
                <w:sz w:val="20"/>
                <w:szCs w:val="20"/>
                <w:color w:val="auto"/>
              </w:rPr>
            </w:pPr>
            <w:r>
              <w:rPr>
                <w:rFonts w:ascii="Arial" w:cs="Arial" w:eastAsia="Arial" w:hAnsi="Arial"/>
                <w:sz w:val="18"/>
                <w:szCs w:val="18"/>
                <w:color w:val="auto"/>
              </w:rPr>
              <w:t>Product revenue, net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Total revenue, net</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Costs and operating expenses: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costs and operating expenses</w:t>
            </w:r>
          </w:p>
        </w:tc>
        <w:tc>
          <w:tcPr>
            <w:tcW w:w="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20"/>
              <w:spacing w:after="0"/>
              <w:rPr>
                <w:sz w:val="20"/>
                <w:szCs w:val="20"/>
                <w:color w:val="auto"/>
              </w:rPr>
            </w:pPr>
            <w:r>
              <w:rPr>
                <w:rFonts w:ascii="Arial" w:cs="Arial" w:eastAsia="Arial" w:hAnsi="Arial"/>
                <w:sz w:val="18"/>
                <w:szCs w:val="18"/>
                <w:color w:val="auto"/>
              </w:rPr>
              <w:t>Change in fair value of derivative liability</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Total other income (expense), net</w:t>
            </w: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(92,789)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(155,636)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(86,372)</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9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basic and diluted</w:t>
            </w: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60,752,225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45,273,231</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2" w:name="page163"/>
    <w:bookmarkEnd w:id="1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OCULAR THERAPEUTIX,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50"/>
              <w:spacing w:after="0"/>
              <w:rPr>
                <w:sz w:val="20"/>
                <w:szCs w:val="20"/>
                <w:color w:val="auto"/>
              </w:rPr>
            </w:pPr>
            <w:r>
              <w:rPr>
                <w:rFonts w:ascii="Arial" w:cs="Arial" w:eastAsia="Arial" w:hAnsi="Arial"/>
                <w:sz w:val="13"/>
                <w:szCs w:val="13"/>
                <w:b w:val="1"/>
                <w:bCs w:val="1"/>
                <w:color w:val="auto"/>
                <w:w w:val="89"/>
              </w:rPr>
              <w:t>Total</w:t>
            </w:r>
          </w:p>
        </w:tc>
      </w:tr>
      <w:tr>
        <w:trPr>
          <w:trHeight w:val="135"/>
        </w:trPr>
        <w:tc>
          <w:tcPr>
            <w:tcW w:w="4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3"/>
          </w:tcPr>
          <w:p>
            <w:pPr>
              <w:jc w:val="center"/>
              <w:ind w:left="77"/>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53"/>
        </w:trPr>
        <w:tc>
          <w:tcPr>
            <w:tcW w:w="4860" w:type="dxa"/>
            <w:vAlign w:val="bottom"/>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74"/>
              <w:spacing w:after="0"/>
              <w:rPr>
                <w:sz w:val="20"/>
                <w:szCs w:val="20"/>
                <w:color w:val="auto"/>
              </w:rPr>
            </w:pPr>
            <w:r>
              <w:rPr>
                <w:rFonts w:ascii="Arial" w:cs="Arial" w:eastAsia="Arial" w:hAnsi="Arial"/>
                <w:sz w:val="13"/>
                <w:szCs w:val="13"/>
                <w:b w:val="1"/>
                <w:bCs w:val="1"/>
                <w:color w:val="auto"/>
                <w:w w:val="96"/>
              </w:rPr>
              <w:t>Paid-in</w:t>
            </w:r>
          </w:p>
        </w:tc>
        <w:tc>
          <w:tcPr>
            <w:tcW w:w="840" w:type="dxa"/>
            <w:vAlign w:val="bottom"/>
            <w:gridSpan w:val="3"/>
          </w:tcPr>
          <w:p>
            <w:pPr>
              <w:ind w:left="12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50"/>
              <w:spacing w:after="0"/>
              <w:rPr>
                <w:sz w:val="20"/>
                <w:szCs w:val="20"/>
                <w:color w:val="auto"/>
              </w:rPr>
            </w:pPr>
            <w:r>
              <w:rPr>
                <w:rFonts w:ascii="Arial" w:cs="Arial" w:eastAsia="Arial" w:hAnsi="Arial"/>
                <w:sz w:val="13"/>
                <w:szCs w:val="13"/>
                <w:b w:val="1"/>
                <w:bCs w:val="1"/>
                <w:color w:val="auto"/>
                <w:w w:val="90"/>
              </w:rPr>
              <w:t>Equity</w:t>
            </w:r>
          </w:p>
        </w:tc>
      </w:tr>
      <w:tr>
        <w:trPr>
          <w:trHeight w:val="128"/>
        </w:trPr>
        <w:tc>
          <w:tcPr>
            <w:tcW w:w="486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29"/>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4"/>
              </w:rPr>
              <w:t>Par Value</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4"/>
              <w:spacing w:after="0" w:line="129" w:lineRule="exact"/>
              <w:rPr>
                <w:sz w:val="20"/>
                <w:szCs w:val="20"/>
                <w:color w:val="auto"/>
              </w:rPr>
            </w:pPr>
            <w:r>
              <w:rPr>
                <w:rFonts w:ascii="Arial" w:cs="Arial" w:eastAsia="Arial" w:hAnsi="Arial"/>
                <w:sz w:val="13"/>
                <w:szCs w:val="13"/>
                <w:b w:val="1"/>
                <w:bCs w:val="1"/>
                <w:color w:val="auto"/>
                <w:w w:val="96"/>
              </w:rPr>
              <w:t>Capital</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09"/>
              <w:spacing w:after="0" w:line="129" w:lineRule="exact"/>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50"/>
              <w:spacing w:after="0" w:line="129" w:lineRule="exact"/>
              <w:rPr>
                <w:sz w:val="20"/>
                <w:szCs w:val="20"/>
                <w:color w:val="auto"/>
              </w:rPr>
            </w:pPr>
            <w:r>
              <w:rPr>
                <w:rFonts w:ascii="Arial" w:cs="Arial" w:eastAsia="Arial" w:hAnsi="Arial"/>
                <w:sz w:val="13"/>
                <w:szCs w:val="13"/>
                <w:b w:val="1"/>
                <w:bCs w:val="1"/>
                <w:color w:val="auto"/>
                <w:w w:val="90"/>
              </w:rPr>
              <w:t>(Deficit)</w:t>
            </w:r>
          </w:p>
        </w:tc>
      </w:tr>
      <w:tr>
        <w:trPr>
          <w:trHeight w:val="142"/>
        </w:trPr>
        <w:tc>
          <w:tcPr>
            <w:tcW w:w="4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2018</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41,518,091</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91"/>
              <w:spacing w:after="0" w:line="142"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$ 333,114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(297,243)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35,875</w:t>
            </w:r>
          </w:p>
        </w:tc>
      </w:tr>
      <w:tr>
        <w:trPr>
          <w:trHeight w:val="148"/>
        </w:trPr>
        <w:tc>
          <w:tcPr>
            <w:tcW w:w="486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28,583</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r>
      <w:tr>
        <w:trPr>
          <w:trHeight w:val="148"/>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connection with employee stock purchase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130,945</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r>
      <w:tr>
        <w:trPr>
          <w:trHeight w:val="148"/>
        </w:trPr>
        <w:tc>
          <w:tcPr>
            <w:tcW w:w="486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public offering, net of issuance costs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8,655,940</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37,578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37,579</w:t>
            </w:r>
          </w:p>
        </w:tc>
      </w:tr>
      <w:tr>
        <w:trPr>
          <w:trHeight w:val="148"/>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8,759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8,759</w:t>
            </w: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(86,372)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(86,372)</w:t>
            </w:r>
          </w:p>
        </w:tc>
      </w:tr>
      <w:tr>
        <w:trPr>
          <w:trHeight w:val="142"/>
        </w:trPr>
        <w:tc>
          <w:tcPr>
            <w:tcW w:w="48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2019</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50,333,559</w:t>
            </w:r>
          </w:p>
        </w:tc>
        <w:tc>
          <w:tcPr>
            <w:tcW w:w="1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220" w:type="dxa"/>
            <w:vAlign w:val="bottom"/>
            <w:tcBorders>
              <w:top w:val="single" w:sz="8" w:color="CCEEFF"/>
            </w:tcBorders>
            <w:gridSpan w:val="2"/>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379,980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(383,615)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(3,630)</w:t>
            </w:r>
          </w:p>
        </w:tc>
      </w:tr>
      <w:tr>
        <w:trPr>
          <w:trHeight w:val="148"/>
        </w:trPr>
        <w:tc>
          <w:tcPr>
            <w:tcW w:w="486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567,776</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2,586</w:t>
            </w:r>
          </w:p>
        </w:tc>
      </w:tr>
      <w:tr>
        <w:trPr>
          <w:trHeight w:val="148"/>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connection with employee stock purchase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161,175</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w:t>
            </w: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public offering, net of issuance costs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4"/>
              </w:rPr>
              <w:t>24,934,222</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224,495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224,497</w:t>
            </w:r>
          </w:p>
        </w:tc>
      </w:tr>
      <w:tr>
        <w:trPr>
          <w:trHeight w:val="148"/>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7,531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7,531</w:t>
            </w:r>
          </w:p>
        </w:tc>
      </w:tr>
      <w:tr>
        <w:trPr>
          <w:trHeight w:val="148"/>
        </w:trPr>
        <w:tc>
          <w:tcPr>
            <w:tcW w:w="48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(155,636)</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(155,636)</w:t>
            </w:r>
          </w:p>
        </w:tc>
      </w:tr>
      <w:tr>
        <w:trPr>
          <w:trHeight w:val="142"/>
        </w:trPr>
        <w:tc>
          <w:tcPr>
            <w:tcW w:w="48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2020</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75,996,732</w:t>
            </w: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91"/>
              <w:spacing w:after="0" w:line="142" w:lineRule="exact"/>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$ 615,338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(539,251)</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76,095</w:t>
            </w:r>
          </w:p>
        </w:tc>
      </w:tr>
      <w:tr>
        <w:trPr>
          <w:trHeight w:val="20"/>
        </w:trPr>
        <w:tc>
          <w:tcPr>
            <w:tcW w:w="4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3" w:name="page164"/>
    <w:bookmarkEnd w:id="1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OCULAR THERAPEUTIX, INC.</w:t>
      </w:r>
    </w:p>
    <w:p>
      <w:pPr>
        <w:spacing w:after="0" w:line="158"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196"/>
        </w:trPr>
        <w:tc>
          <w:tcPr>
            <w:tcW w:w="6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700" w:type="dxa"/>
            <w:vAlign w:val="bottom"/>
          </w:tcPr>
          <w:p>
            <w:pPr>
              <w:ind w:left="320"/>
              <w:spacing w:after="0"/>
              <w:rPr>
                <w:sz w:val="20"/>
                <w:szCs w:val="20"/>
                <w:color w:val="auto"/>
              </w:rPr>
            </w:pPr>
            <w:r>
              <w:rPr>
                <w:rFonts w:ascii="Arial" w:cs="Arial" w:eastAsia="Arial" w:hAnsi="Arial"/>
                <w:sz w:val="16"/>
                <w:szCs w:val="16"/>
                <w:color w:val="auto"/>
              </w:rPr>
              <w:t>Net loss</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6"/>
              </w:rPr>
              <w:t>(155,636)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(86,372)</w:t>
            </w:r>
          </w:p>
        </w:tc>
        <w:tc>
          <w:tcPr>
            <w:tcW w:w="200" w:type="dxa"/>
            <w:vAlign w:val="bottom"/>
          </w:tcPr>
          <w:p>
            <w:pPr>
              <w:spacing w:after="0"/>
              <w:rPr>
                <w:sz w:val="17"/>
                <w:szCs w:val="17"/>
                <w:color w:val="auto"/>
              </w:rPr>
            </w:pPr>
          </w:p>
        </w:tc>
      </w:tr>
      <w:tr>
        <w:trPr>
          <w:trHeight w:val="203"/>
        </w:trPr>
        <w:tc>
          <w:tcPr>
            <w:tcW w:w="6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700" w:type="dxa"/>
            <w:vAlign w:val="bottom"/>
          </w:tcPr>
          <w:p>
            <w:pPr>
              <w:ind w:left="5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8,759</w:t>
            </w:r>
          </w:p>
        </w:tc>
        <w:tc>
          <w:tcPr>
            <w:tcW w:w="200" w:type="dxa"/>
            <w:vAlign w:val="bottom"/>
          </w:tcPr>
          <w:p>
            <w:pPr>
              <w:spacing w:after="0"/>
              <w:rPr>
                <w:sz w:val="17"/>
                <w:szCs w:val="17"/>
                <w:color w:val="auto"/>
              </w:rPr>
            </w:pPr>
          </w:p>
        </w:tc>
      </w:tr>
      <w:tr>
        <w:trPr>
          <w:trHeight w:val="203"/>
        </w:trPr>
        <w:tc>
          <w:tcPr>
            <w:tcW w:w="67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Non-cash interest expense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w:t>
            </w:r>
          </w:p>
        </w:tc>
        <w:tc>
          <w:tcPr>
            <w:tcW w:w="200" w:type="dxa"/>
            <w:vAlign w:val="bottom"/>
            <w:shd w:val="clear" w:color="auto" w:fill="CCEEFF"/>
          </w:tcPr>
          <w:p>
            <w:pPr>
              <w:spacing w:after="0"/>
              <w:rPr>
                <w:sz w:val="17"/>
                <w:szCs w:val="17"/>
                <w:color w:val="auto"/>
              </w:rPr>
            </w:pPr>
          </w:p>
        </w:tc>
      </w:tr>
      <w:tr>
        <w:trPr>
          <w:trHeight w:val="203"/>
        </w:trPr>
        <w:tc>
          <w:tcPr>
            <w:tcW w:w="6700" w:type="dxa"/>
            <w:vAlign w:val="bottom"/>
          </w:tcPr>
          <w:p>
            <w:pPr>
              <w:ind w:left="540"/>
              <w:spacing w:after="0"/>
              <w:rPr>
                <w:sz w:val="20"/>
                <w:szCs w:val="20"/>
                <w:color w:val="auto"/>
              </w:rPr>
            </w:pPr>
            <w:r>
              <w:rPr>
                <w:rFonts w:ascii="Arial" w:cs="Arial" w:eastAsia="Arial" w:hAnsi="Arial"/>
                <w:sz w:val="16"/>
                <w:szCs w:val="16"/>
                <w:color w:val="auto"/>
              </w:rPr>
              <w:t>Change in fair value of derivative liability</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86,189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(4,310)</w:t>
            </w:r>
          </w:p>
        </w:tc>
        <w:tc>
          <w:tcPr>
            <w:tcW w:w="200" w:type="dxa"/>
            <w:vAlign w:val="bottom"/>
          </w:tcPr>
          <w:p>
            <w:pPr>
              <w:spacing w:after="0"/>
              <w:rPr>
                <w:sz w:val="17"/>
                <w:szCs w:val="17"/>
                <w:color w:val="auto"/>
              </w:rPr>
            </w:pPr>
          </w:p>
        </w:tc>
      </w:tr>
      <w:tr>
        <w:trPr>
          <w:trHeight w:val="203"/>
        </w:trPr>
        <w:tc>
          <w:tcPr>
            <w:tcW w:w="67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200" w:type="dxa"/>
            <w:vAlign w:val="bottom"/>
            <w:shd w:val="clear" w:color="auto" w:fill="CCEEFF"/>
          </w:tcPr>
          <w:p>
            <w:pPr>
              <w:spacing w:after="0"/>
              <w:rPr>
                <w:sz w:val="17"/>
                <w:szCs w:val="17"/>
                <w:color w:val="auto"/>
              </w:rPr>
            </w:pPr>
          </w:p>
        </w:tc>
      </w:tr>
      <w:tr>
        <w:trPr>
          <w:trHeight w:val="203"/>
        </w:trPr>
        <w:tc>
          <w:tcPr>
            <w:tcW w:w="6700" w:type="dxa"/>
            <w:vAlign w:val="bottom"/>
          </w:tcPr>
          <w:p>
            <w:pPr>
              <w:ind w:left="540"/>
              <w:spacing w:after="0"/>
              <w:rPr>
                <w:sz w:val="20"/>
                <w:szCs w:val="20"/>
                <w:color w:val="auto"/>
              </w:rPr>
            </w:pPr>
            <w:r>
              <w:rPr>
                <w:rFonts w:ascii="Arial" w:cs="Arial" w:eastAsia="Arial" w:hAnsi="Arial"/>
                <w:sz w:val="16"/>
                <w:szCs w:val="16"/>
                <w:color w:val="auto"/>
              </w:rPr>
              <w:t>Loss on disposal of property and equipment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r>
      <w:tr>
        <w:trPr>
          <w:trHeight w:val="203"/>
        </w:trPr>
        <w:tc>
          <w:tcPr>
            <w:tcW w:w="67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700" w:type="dxa"/>
            <w:vAlign w:val="bottom"/>
          </w:tcPr>
          <w:p>
            <w:pPr>
              <w:ind w:left="7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(2,347)</w:t>
            </w:r>
          </w:p>
        </w:tc>
        <w:tc>
          <w:tcPr>
            <w:tcW w:w="200" w:type="dxa"/>
            <w:vAlign w:val="bottom"/>
          </w:tcPr>
          <w:p>
            <w:pPr>
              <w:spacing w:after="0"/>
              <w:rPr>
                <w:sz w:val="17"/>
                <w:szCs w:val="17"/>
                <w:color w:val="auto"/>
              </w:rPr>
            </w:pPr>
          </w:p>
        </w:tc>
      </w:tr>
      <w:tr>
        <w:trPr>
          <w:trHeight w:val="203"/>
        </w:trPr>
        <w:tc>
          <w:tcPr>
            <w:tcW w:w="67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200" w:type="dxa"/>
            <w:vAlign w:val="bottom"/>
            <w:shd w:val="clear" w:color="auto" w:fill="CCEEFF"/>
          </w:tcPr>
          <w:p>
            <w:pPr>
              <w:spacing w:after="0"/>
              <w:rPr>
                <w:sz w:val="17"/>
                <w:szCs w:val="17"/>
                <w:color w:val="auto"/>
              </w:rPr>
            </w:pPr>
          </w:p>
        </w:tc>
      </w:tr>
      <w:tr>
        <w:trPr>
          <w:trHeight w:val="203"/>
        </w:trPr>
        <w:tc>
          <w:tcPr>
            <w:tcW w:w="6700" w:type="dxa"/>
            <w:vAlign w:val="bottom"/>
          </w:tcPr>
          <w:p>
            <w:pPr>
              <w:ind w:left="76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(737)</w:t>
            </w:r>
          </w:p>
        </w:tc>
        <w:tc>
          <w:tcPr>
            <w:tcW w:w="200" w:type="dxa"/>
            <w:vAlign w:val="bottom"/>
          </w:tcPr>
          <w:p>
            <w:pPr>
              <w:spacing w:after="0"/>
              <w:rPr>
                <w:sz w:val="17"/>
                <w:szCs w:val="17"/>
                <w:color w:val="auto"/>
              </w:rPr>
            </w:pPr>
          </w:p>
        </w:tc>
      </w:tr>
      <w:tr>
        <w:trPr>
          <w:trHeight w:val="203"/>
        </w:trPr>
        <w:tc>
          <w:tcPr>
            <w:tcW w:w="67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Operating lease assets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200" w:type="dxa"/>
            <w:vAlign w:val="bottom"/>
            <w:shd w:val="clear" w:color="auto" w:fill="CCEEFF"/>
          </w:tcPr>
          <w:p>
            <w:pPr>
              <w:spacing w:after="0"/>
              <w:rPr>
                <w:sz w:val="17"/>
                <w:szCs w:val="17"/>
                <w:color w:val="auto"/>
              </w:rPr>
            </w:pPr>
          </w:p>
        </w:tc>
      </w:tr>
      <w:tr>
        <w:trPr>
          <w:trHeight w:val="203"/>
        </w:trPr>
        <w:tc>
          <w:tcPr>
            <w:tcW w:w="6700" w:type="dxa"/>
            <w:vAlign w:val="bottom"/>
          </w:tcPr>
          <w:p>
            <w:pPr>
              <w:ind w:left="76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Pr>
          <w:p>
            <w:pPr>
              <w:spacing w:after="0"/>
              <w:rPr>
                <w:sz w:val="17"/>
                <w:szCs w:val="17"/>
                <w:color w:val="auto"/>
              </w:rPr>
            </w:pPr>
          </w:p>
        </w:tc>
      </w:tr>
      <w:tr>
        <w:trPr>
          <w:trHeight w:val="203"/>
        </w:trPr>
        <w:tc>
          <w:tcPr>
            <w:tcW w:w="67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200" w:type="dxa"/>
            <w:vAlign w:val="bottom"/>
            <w:shd w:val="clear" w:color="auto" w:fill="CCEEFF"/>
          </w:tcPr>
          <w:p>
            <w:pPr>
              <w:spacing w:after="0"/>
              <w:rPr>
                <w:sz w:val="17"/>
                <w:szCs w:val="17"/>
                <w:color w:val="auto"/>
              </w:rPr>
            </w:pPr>
          </w:p>
        </w:tc>
      </w:tr>
      <w:tr>
        <w:trPr>
          <w:trHeight w:val="203"/>
        </w:trPr>
        <w:tc>
          <w:tcPr>
            <w:tcW w:w="6700" w:type="dxa"/>
            <w:vAlign w:val="bottom"/>
          </w:tcPr>
          <w:p>
            <w:pPr>
              <w:ind w:left="7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7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200" w:type="dxa"/>
            <w:vAlign w:val="bottom"/>
            <w:shd w:val="clear" w:color="auto" w:fill="CCEEFF"/>
          </w:tcPr>
          <w:p>
            <w:pPr>
              <w:spacing w:after="0"/>
              <w:rPr>
                <w:sz w:val="17"/>
                <w:szCs w:val="17"/>
                <w:color w:val="auto"/>
              </w:rPr>
            </w:pPr>
          </w:p>
        </w:tc>
      </w:tr>
      <w:tr>
        <w:trPr>
          <w:trHeight w:val="196"/>
        </w:trPr>
        <w:tc>
          <w:tcPr>
            <w:tcW w:w="67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(53,554)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(77,578)</w:t>
            </w:r>
          </w:p>
        </w:tc>
        <w:tc>
          <w:tcPr>
            <w:tcW w:w="200" w:type="dxa"/>
            <w:vAlign w:val="bottom"/>
            <w:tcBorders>
              <w:bottom w:val="single" w:sz="8" w:color="CCEEFF"/>
            </w:tcBorders>
          </w:tcPr>
          <w:p>
            <w:pPr>
              <w:spacing w:after="0"/>
              <w:rPr>
                <w:sz w:val="17"/>
                <w:szCs w:val="17"/>
                <w:color w:val="auto"/>
              </w:rPr>
            </w:pPr>
          </w:p>
        </w:tc>
      </w:tr>
      <w:tr>
        <w:trPr>
          <w:trHeight w:val="196"/>
        </w:trPr>
        <w:tc>
          <w:tcPr>
            <w:tcW w:w="6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7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(2,238)</w:t>
            </w:r>
          </w:p>
        </w:tc>
        <w:tc>
          <w:tcPr>
            <w:tcW w:w="200" w:type="dxa"/>
            <w:vAlign w:val="bottom"/>
            <w:tcBorders>
              <w:bottom w:val="single" w:sz="8" w:color="CCEEFF"/>
            </w:tcBorders>
          </w:tcPr>
          <w:p>
            <w:pPr>
              <w:spacing w:after="0"/>
              <w:rPr>
                <w:sz w:val="17"/>
                <w:szCs w:val="17"/>
                <w:color w:val="auto"/>
              </w:rPr>
            </w:pPr>
          </w:p>
        </w:tc>
      </w:tr>
      <w:tr>
        <w:trPr>
          <w:trHeight w:val="196"/>
        </w:trPr>
        <w:tc>
          <w:tcPr>
            <w:tcW w:w="6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(2,238)</w:t>
            </w:r>
          </w:p>
        </w:tc>
        <w:tc>
          <w:tcPr>
            <w:tcW w:w="200" w:type="dxa"/>
            <w:vAlign w:val="bottom"/>
            <w:shd w:val="clear" w:color="auto" w:fill="CCEEFF"/>
          </w:tcPr>
          <w:p>
            <w:pPr>
              <w:spacing w:after="0"/>
              <w:rPr>
                <w:sz w:val="17"/>
                <w:szCs w:val="17"/>
                <w:color w:val="auto"/>
              </w:rPr>
            </w:pPr>
          </w:p>
        </w:tc>
      </w:tr>
      <w:tr>
        <w:trPr>
          <w:trHeight w:val="193"/>
        </w:trPr>
        <w:tc>
          <w:tcPr>
            <w:tcW w:w="67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6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issuance of 2026 convertible notes, net of issuance costs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37,275</w:t>
            </w:r>
          </w:p>
        </w:tc>
        <w:tc>
          <w:tcPr>
            <w:tcW w:w="200" w:type="dxa"/>
            <w:vAlign w:val="bottom"/>
            <w:shd w:val="clear" w:color="auto" w:fill="CCEEFF"/>
          </w:tcPr>
          <w:p>
            <w:pPr>
              <w:spacing w:after="0"/>
              <w:rPr>
                <w:sz w:val="17"/>
                <w:szCs w:val="17"/>
                <w:color w:val="auto"/>
              </w:rPr>
            </w:pPr>
          </w:p>
        </w:tc>
      </w:tr>
      <w:tr>
        <w:trPr>
          <w:trHeight w:val="203"/>
        </w:trPr>
        <w:tc>
          <w:tcPr>
            <w:tcW w:w="6700" w:type="dxa"/>
            <w:vAlign w:val="bottom"/>
          </w:tcPr>
          <w:p>
            <w:pPr>
              <w:ind w:left="32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2,585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17"/>
                <w:szCs w:val="17"/>
                <w:color w:val="auto"/>
              </w:rPr>
            </w:pPr>
          </w:p>
        </w:tc>
      </w:tr>
      <w:tr>
        <w:trPr>
          <w:trHeight w:val="203"/>
        </w:trPr>
        <w:tc>
          <w:tcPr>
            <w:tcW w:w="6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issuance of common stock pursuant to employee stock purchase plan</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200" w:type="dxa"/>
            <w:vAlign w:val="bottom"/>
            <w:shd w:val="clear" w:color="auto" w:fill="CCEEFF"/>
          </w:tcPr>
          <w:p>
            <w:pPr>
              <w:spacing w:after="0"/>
              <w:rPr>
                <w:sz w:val="17"/>
                <w:szCs w:val="17"/>
                <w:color w:val="auto"/>
              </w:rPr>
            </w:pPr>
          </w:p>
        </w:tc>
      </w:tr>
      <w:tr>
        <w:trPr>
          <w:trHeight w:val="213"/>
        </w:trPr>
        <w:tc>
          <w:tcPr>
            <w:tcW w:w="6700" w:type="dxa"/>
            <w:vAlign w:val="bottom"/>
          </w:tcPr>
          <w:p>
            <w:pPr>
              <w:ind w:left="320"/>
              <w:spacing w:after="0"/>
              <w:rPr>
                <w:sz w:val="20"/>
                <w:szCs w:val="20"/>
                <w:color w:val="auto"/>
              </w:rPr>
            </w:pPr>
            <w:r>
              <w:rPr>
                <w:rFonts w:ascii="Arial" w:cs="Arial" w:eastAsia="Arial" w:hAnsi="Arial"/>
                <w:sz w:val="16"/>
                <w:szCs w:val="16"/>
                <w:color w:val="auto"/>
              </w:rPr>
              <w:t>Proceeds from the Paycheck Protection Program Loan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Repayment of the Paycheck Protection Program Loan</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7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Proceeds from issuance of common stock upon public offering, net</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224,682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37,537</w:t>
            </w:r>
          </w:p>
        </w:tc>
        <w:tc>
          <w:tcPr>
            <w:tcW w:w="200" w:type="dxa"/>
            <w:vAlign w:val="bottom"/>
            <w:tcBorders>
              <w:bottom w:val="single" w:sz="8" w:color="CCEEFF"/>
            </w:tcBorders>
          </w:tcPr>
          <w:p>
            <w:pPr>
              <w:spacing w:after="0"/>
              <w:rPr>
                <w:sz w:val="17"/>
                <w:szCs w:val="17"/>
                <w:color w:val="auto"/>
              </w:rPr>
            </w:pPr>
          </w:p>
        </w:tc>
      </w:tr>
      <w:tr>
        <w:trPr>
          <w:trHeight w:val="196"/>
        </w:trPr>
        <w:tc>
          <w:tcPr>
            <w:tcW w:w="6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228,014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75,341</w:t>
            </w:r>
          </w:p>
        </w:tc>
        <w:tc>
          <w:tcPr>
            <w:tcW w:w="200" w:type="dxa"/>
            <w:vAlign w:val="bottom"/>
            <w:shd w:val="clear" w:color="auto" w:fill="CCEEFF"/>
          </w:tcPr>
          <w:p>
            <w:pPr>
              <w:spacing w:after="0"/>
              <w:rPr>
                <w:sz w:val="17"/>
                <w:szCs w:val="17"/>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173,620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(4,475)</w:t>
            </w:r>
          </w:p>
        </w:tc>
        <w:tc>
          <w:tcPr>
            <w:tcW w:w="200" w:type="dxa"/>
            <w:vAlign w:val="bottom"/>
          </w:tcPr>
          <w:p>
            <w:pPr>
              <w:spacing w:after="0"/>
              <w:rPr>
                <w:sz w:val="17"/>
                <w:szCs w:val="17"/>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56,201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60,676</w:t>
            </w:r>
          </w:p>
        </w:tc>
        <w:tc>
          <w:tcPr>
            <w:tcW w:w="200" w:type="dxa"/>
            <w:vAlign w:val="bottom"/>
            <w:shd w:val="clear" w:color="auto" w:fill="CCEEFF"/>
          </w:tcPr>
          <w:p>
            <w:pPr>
              <w:spacing w:after="0"/>
              <w:rPr>
                <w:sz w:val="17"/>
                <w:szCs w:val="17"/>
                <w:color w:val="auto"/>
              </w:rPr>
            </w:pPr>
          </w:p>
        </w:tc>
      </w:tr>
      <w:tr>
        <w:trPr>
          <w:trHeight w:val="236"/>
        </w:trPr>
        <w:tc>
          <w:tcPr>
            <w:tcW w:w="6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56,201</w:t>
            </w:r>
          </w:p>
        </w:tc>
        <w:tc>
          <w:tcPr>
            <w:tcW w:w="200" w:type="dxa"/>
            <w:vAlign w:val="bottom"/>
            <w:tcBorders>
              <w:bottom w:val="single" w:sz="8" w:color="CCEEFF"/>
            </w:tcBorders>
          </w:tcPr>
          <w:p>
            <w:pPr>
              <w:spacing w:after="0"/>
              <w:rPr>
                <w:sz w:val="20"/>
                <w:szCs w:val="20"/>
                <w:color w:val="auto"/>
              </w:rPr>
            </w:pPr>
          </w:p>
        </w:tc>
      </w:tr>
      <w:tr>
        <w:trPr>
          <w:trHeight w:val="183"/>
        </w:trPr>
        <w:tc>
          <w:tcPr>
            <w:tcW w:w="670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6700" w:type="dxa"/>
            <w:vAlign w:val="bottom"/>
          </w:tcPr>
          <w:p>
            <w:pPr>
              <w:ind w:left="100"/>
              <w:spacing w:after="0"/>
              <w:rPr>
                <w:sz w:val="20"/>
                <w:szCs w:val="20"/>
                <w:color w:val="auto"/>
              </w:rPr>
            </w:pPr>
            <w:r>
              <w:rPr>
                <w:rFonts w:ascii="Arial" w:cs="Arial" w:eastAsia="Arial" w:hAnsi="Arial"/>
                <w:sz w:val="16"/>
                <w:szCs w:val="16"/>
                <w:color w:val="auto"/>
              </w:rPr>
              <w:t>Cash paid for interest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2,354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2,298</w:t>
            </w:r>
          </w:p>
        </w:tc>
        <w:tc>
          <w:tcPr>
            <w:tcW w:w="200" w:type="dxa"/>
            <w:vAlign w:val="bottom"/>
          </w:tcPr>
          <w:p>
            <w:pPr>
              <w:spacing w:after="0"/>
              <w:rPr>
                <w:sz w:val="17"/>
                <w:szCs w:val="17"/>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700" w:type="dxa"/>
            <w:vAlign w:val="bottom"/>
          </w:tcPr>
          <w:p>
            <w:pPr>
              <w:ind w:left="320"/>
              <w:spacing w:after="0"/>
              <w:rPr>
                <w:sz w:val="20"/>
                <w:szCs w:val="20"/>
                <w:color w:val="auto"/>
              </w:rPr>
            </w:pPr>
            <w:r>
              <w:rPr>
                <w:rFonts w:ascii="Arial" w:cs="Arial" w:eastAsia="Arial" w:hAnsi="Arial"/>
                <w:sz w:val="16"/>
                <w:szCs w:val="16"/>
                <w:color w:val="auto"/>
              </w:rPr>
              <w:t>Additional right of use asset and related lease liability</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2,044</w:t>
            </w:r>
          </w:p>
        </w:tc>
        <w:tc>
          <w:tcPr>
            <w:tcW w:w="200" w:type="dxa"/>
            <w:vAlign w:val="bottom"/>
          </w:tcPr>
          <w:p>
            <w:pPr>
              <w:spacing w:after="0"/>
              <w:rPr>
                <w:sz w:val="17"/>
                <w:szCs w:val="17"/>
                <w:color w:val="auto"/>
              </w:rPr>
            </w:pPr>
          </w:p>
        </w:tc>
      </w:tr>
      <w:tr>
        <w:trPr>
          <w:trHeight w:val="193"/>
        </w:trPr>
        <w:tc>
          <w:tcPr>
            <w:tcW w:w="67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Additions to property and equipment included in accounts payable and accrued expenses at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2"/>
        </w:trPr>
        <w:tc>
          <w:tcPr>
            <w:tcW w:w="6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balance sheet dates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200" w:type="dxa"/>
            <w:vAlign w:val="bottom"/>
            <w:shd w:val="clear" w:color="auto" w:fill="CCEEFF"/>
          </w:tcPr>
          <w:p>
            <w:pPr>
              <w:spacing w:after="0"/>
              <w:rPr>
                <w:sz w:val="18"/>
                <w:szCs w:val="18"/>
                <w:color w:val="auto"/>
              </w:rPr>
            </w:pPr>
          </w:p>
        </w:tc>
      </w:tr>
      <w:tr>
        <w:trPr>
          <w:trHeight w:val="203"/>
        </w:trPr>
        <w:tc>
          <w:tcPr>
            <w:tcW w:w="6700" w:type="dxa"/>
            <w:vAlign w:val="bottom"/>
          </w:tcPr>
          <w:p>
            <w:pPr>
              <w:ind w:left="320"/>
              <w:spacing w:after="0"/>
              <w:rPr>
                <w:sz w:val="20"/>
                <w:szCs w:val="20"/>
                <w:color w:val="auto"/>
              </w:rPr>
            </w:pPr>
            <w:r>
              <w:rPr>
                <w:rFonts w:ascii="Arial" w:cs="Arial" w:eastAsia="Arial" w:hAnsi="Arial"/>
                <w:sz w:val="16"/>
                <w:szCs w:val="16"/>
                <w:color w:val="auto"/>
              </w:rPr>
              <w:t>Derivative liability in connection with issuance of 2026 convertible notes</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16,434</w:t>
            </w:r>
          </w:p>
        </w:tc>
        <w:tc>
          <w:tcPr>
            <w:tcW w:w="200" w:type="dxa"/>
            <w:vAlign w:val="bottom"/>
          </w:tcPr>
          <w:p>
            <w:pPr>
              <w:spacing w:after="0"/>
              <w:rPr>
                <w:sz w:val="17"/>
                <w:szCs w:val="17"/>
                <w:color w:val="auto"/>
              </w:rPr>
            </w:pPr>
          </w:p>
        </w:tc>
      </w:tr>
      <w:tr>
        <w:trPr>
          <w:trHeight w:val="203"/>
        </w:trPr>
        <w:tc>
          <w:tcPr>
            <w:tcW w:w="67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2"/>
              </w:rPr>
              <w:t>Public offering costs included in accounts payable and accrued expenses at balance sheet dates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0" w:type="dxa"/>
            <w:vAlign w:val="bottom"/>
            <w:shd w:val="clear" w:color="auto" w:fill="CCEEFF"/>
          </w:tcPr>
          <w:p>
            <w:pPr>
              <w:spacing w:after="0"/>
              <w:rPr>
                <w:sz w:val="17"/>
                <w:szCs w:val="17"/>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4" w:name="page165"/>
    <w:bookmarkEnd w:id="1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OCULAR THERAPEUTIX,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color w:val="auto"/>
        </w:rPr>
        <w:t>Ocular Therapeutix, Inc. (the “Company”) was incorporated on September 12, 2006 under the laws of the State of Delaware. The Company is a biopharmaceutical company focused on the formulation, development and commercialization of innovative therapies for diseases and conditions of the eye using its proprietary, bioresorbable hydrogel platform technology. The Company’s product pipeline candidates provide differentiated drug delivery solutions that reduce the complexity and burden of the current standard of care by creating local programmed-release alternatives. Since inception, the Company’s operations have been primarily focused on organizing and staffing the Company, acquiring rights to intellectual property, business planning, raising capital, developing its technology, identifying potential product candidates, undertaking preclinical studies and clinical trials, manufacturing initial quantities of its products and product candidates and building the initial sales and marketing infrastructure for the commercialization of the Company’s approved products and product candidates and launching its initial product.</w:t>
      </w:r>
    </w:p>
    <w:p>
      <w:pPr>
        <w:spacing w:after="0" w:line="185" w:lineRule="exact"/>
        <w:rPr>
          <w:sz w:val="20"/>
          <w:szCs w:val="20"/>
          <w:color w:val="auto"/>
        </w:rPr>
      </w:pPr>
    </w:p>
    <w:p>
      <w:pPr>
        <w:ind w:left="60" w:right="79" w:firstLine="441"/>
        <w:spacing w:after="0" w:line="254"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regulatory approval and compliance, reimbursement, uncertainty of market acceptance of products and the need to obtain additional financing. Recently approved products will require significant sales, marketing and distribution support up to and including upon their launch. Product candidates currently under development will require significant additional research and development efforts, including extensive preclinical and clinical testing and regulatory approval, prior to commercialization.</w:t>
      </w:r>
    </w:p>
    <w:p>
      <w:pPr>
        <w:spacing w:after="0" w:line="195" w:lineRule="exact"/>
        <w:rPr>
          <w:sz w:val="20"/>
          <w:szCs w:val="20"/>
          <w:color w:val="auto"/>
        </w:rPr>
      </w:pPr>
    </w:p>
    <w:p>
      <w:pPr>
        <w:ind w:left="60" w:right="79" w:firstLine="441"/>
        <w:spacing w:after="0" w:line="268" w:lineRule="auto"/>
        <w:rPr>
          <w:sz w:val="20"/>
          <w:szCs w:val="20"/>
          <w:color w:val="auto"/>
        </w:rPr>
      </w:pPr>
      <w:r>
        <w:rPr>
          <w:rFonts w:ascii="Arial" w:cs="Arial" w:eastAsia="Arial" w:hAnsi="Arial"/>
          <w:sz w:val="16"/>
          <w:szCs w:val="16"/>
          <w:color w:val="auto"/>
        </w:rPr>
        <w:t>As of December 31, 2020, the Company had two FDA-approved products in commercialization in the United States: DEXTENZA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(dexamethasone insert) 0.4mg, an intracanalicular insert for the treatment of post-surgical ocular inflammation and pain, and ReSure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Sealant, an ophthalmic device designed to prevent wound leaks in corneal incisions following cataract surgery. While ReSure Sealant is commercially available in the United States, it does not receive sales support and has not in the past generated, nor is it anticipated to in the future to generate, material revenues. The Company’s other product candidates are in clinical stage development. There can be no assurance that the Company’s research and development will be successfully completed, that adequate protection for the Company’s intellectual property will be obtained, that any products developed will obtain necessary government regulatory approval and adequate reimbursement or that any approved products will be commercially viable. Even if the Company’s product development efforts are successful, it is uncertain when, if ever, the Company will generate significant revenue from product sales. The Company operates in an environment of rapidly changing technology and substantial competition from pharmaceutical and biotechnology companies. In addition, the Company is dependent upon the services of its employees and consultants. The Company may not be able to generate significant revenue from sales of any product for several years, if at all. Accordingly, the Company will need to obtain additional capital to finance its operations.</w:t>
      </w:r>
    </w:p>
    <w:p>
      <w:pPr>
        <w:spacing w:after="0" w:line="184" w:lineRule="exact"/>
        <w:rPr>
          <w:sz w:val="20"/>
          <w:szCs w:val="20"/>
          <w:color w:val="auto"/>
        </w:rPr>
      </w:pPr>
    </w:p>
    <w:p>
      <w:pPr>
        <w:ind w:left="60" w:right="119" w:firstLine="441"/>
        <w:spacing w:after="0" w:line="283" w:lineRule="auto"/>
        <w:rPr>
          <w:sz w:val="20"/>
          <w:szCs w:val="20"/>
          <w:color w:val="auto"/>
        </w:rPr>
      </w:pPr>
      <w:r>
        <w:rPr>
          <w:rFonts w:ascii="Arial" w:cs="Arial" w:eastAsia="Arial" w:hAnsi="Arial"/>
          <w:sz w:val="16"/>
          <w:szCs w:val="16"/>
          <w:color w:val="auto"/>
        </w:rPr>
        <w:t>The Company has incurred losses and negative cash flows from operations since its inception, and the Company expects to continue to generate operating losses and negative cash flows from operations in the foreseeable future. As of December 31, 2020, the Company had an accumulated deficit of $539,251. The Company believes that its existing cash and cash equivalents of $228,057, as of December 31, 2020, along with its current operating plan, which includes revenues from the sale of DEXTENZA, will enable it to fund its planned operating expenses, debt service obligations and capital expenditure requirements through at least the next 12 months. The future viability of the Company beyond that point is dependent on its ability to generate cash flows from the sale of DEXTENZA and raise additional capital to finance its operations. The Company will need to finance its operations through public or private securities offerings, debt financings or other sources, which may include licensing, collaborations or other strategic transactions or arrangements. Although the Company has been successful in raising capital in the past, there is no assurance that it will be successful in obtaining such additional financing on terms acceptable to the Company, if at all. If the Company is unable to obtain funding, the Company could be forced to delay, reduce or eliminate some or all of its research and development programs for product candidates, product portfolio expansion or commercialization efforts, which could adversely affect its business prospects, or the Company may be unable to continue operations.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5" w:name="page166"/>
    <w:bookmarkEnd w:id="1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441"/>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12" w:lineRule="exact"/>
        <w:rPr>
          <w:sz w:val="20"/>
          <w:szCs w:val="20"/>
          <w:color w:val="auto"/>
        </w:rPr>
      </w:pPr>
    </w:p>
    <w:p>
      <w:pPr>
        <w:ind w:left="60" w:right="99" w:firstLine="441"/>
        <w:spacing w:after="0" w:line="273" w:lineRule="auto"/>
        <w:rPr>
          <w:sz w:val="20"/>
          <w:szCs w:val="20"/>
          <w:color w:val="auto"/>
        </w:rPr>
      </w:pPr>
      <w:r>
        <w:rPr>
          <w:rFonts w:ascii="Arial" w:cs="Arial" w:eastAsia="Arial" w:hAnsi="Arial"/>
          <w:sz w:val="17"/>
          <w:szCs w:val="17"/>
          <w:color w:val="auto"/>
        </w:rPr>
        <w:t>The Company is monitoring the potential impact of the COVID-19 pandemic, if any, on the carrying value of certain assets. To date, the Company has not experienced a material business disruption, nor has it incurred impairment of any assets as a result of the COVID-19 pandemic. The extent to which these events may impact the Company’s business will depend on future developments, which are highly uncertain and cannot be predicted at this time. The duration and intensity of the COVID-19 pandemic and any resulting disruption to the Company’s operations is uncertain, and the Company will continue to assess the impact of the COVID-19 pandemic on its financial position.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accompanying consolidated financial statements reflect the operations of the Company and its wholly-owned subsidiary. All intercompany accounts and transactions have been eliminated.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333"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periods. Significant estimates and assumptions reflected in these consolidated financial statements include, but are not limited to, revenue recognition, and the fair value of derivatives. Estimates are periodically reviewed in light of changes in circumstances, facts and experience. Actual results could differ from the Company’s estimates.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date of purchase to be cash equivalents. Cash equivalents, which primarily consist of money market accounts, are stated at fair value.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0" w:right="159" w:firstLine="441"/>
        <w:spacing w:after="0" w:line="263" w:lineRule="auto"/>
        <w:rPr>
          <w:sz w:val="20"/>
          <w:szCs w:val="20"/>
          <w:color w:val="auto"/>
        </w:rPr>
      </w:pPr>
      <w:r>
        <w:rPr>
          <w:rFonts w:ascii="Arial" w:cs="Arial" w:eastAsia="Arial" w:hAnsi="Arial"/>
          <w:sz w:val="18"/>
          <w:szCs w:val="18"/>
          <w:color w:val="auto"/>
        </w:rPr>
        <w:t>The Company recognizes product revenue from DEXTENZA for the treatment of post-surgical ocular inflammation and pain, which it began selling to customers in June 2019, and ReSure Sealant. The Company has generated limited revenues from ReSure Sealant to date and does not expect significant future sales.</w:t>
      </w:r>
    </w:p>
    <w:p>
      <w:pPr>
        <w:spacing w:after="0" w:line="184" w:lineRule="exact"/>
        <w:rPr>
          <w:sz w:val="20"/>
          <w:szCs w:val="20"/>
          <w:color w:val="auto"/>
        </w:rPr>
      </w:pPr>
    </w:p>
    <w:p>
      <w:pPr>
        <w:ind w:left="60" w:right="99" w:firstLine="441"/>
        <w:spacing w:after="0" w:line="291" w:lineRule="auto"/>
        <w:rPr>
          <w:sz w:val="20"/>
          <w:szCs w:val="20"/>
          <w:color w:val="auto"/>
        </w:rPr>
      </w:pPr>
      <w:r>
        <w:rPr>
          <w:rFonts w:ascii="Arial" w:cs="Arial" w:eastAsia="Arial" w:hAnsi="Arial"/>
          <w:sz w:val="16"/>
          <w:szCs w:val="16"/>
          <w:color w:val="auto"/>
        </w:rPr>
        <w:t xml:space="preserve">In November 2018, the FDA approved DEXTENZA for the treatment of ocular pain following ophthalmic surgery. The Company entered into a limited number of arrangements with specialty distributors in the United States to distribute DEXTENZA. The Company recognizes revenue in accordance with Accounting Standards Codification 606 –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Contracts with Customers </w:t>
      </w:r>
      <w:r>
        <w:rPr>
          <w:rFonts w:ascii="Arial" w:cs="Arial" w:eastAsia="Arial" w:hAnsi="Arial"/>
          <w:sz w:val="16"/>
          <w:szCs w:val="16"/>
          <w:color w:val="auto"/>
        </w:rPr>
        <w:t>(“Topic 606”). Topic 606 applies to all contracts with customers, except for contracts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within the scope of other standards, such as leases, insurance arrangements and financial instruments. Under Topic 606, an entity recognizes revenue when its customer obtains control of promised goods or services, in an amount that reflects the consideration which the entity expects to be entitled to in exchange for those goods or services.</w:t>
      </w:r>
    </w:p>
    <w:p>
      <w:pPr>
        <w:spacing w:after="0" w:line="166" w:lineRule="exact"/>
        <w:rPr>
          <w:sz w:val="20"/>
          <w:szCs w:val="20"/>
          <w:color w:val="auto"/>
        </w:rPr>
      </w:pPr>
    </w:p>
    <w:p>
      <w:pPr>
        <w:ind w:left="60" w:right="99" w:firstLine="441"/>
        <w:spacing w:after="0" w:line="291" w:lineRule="auto"/>
        <w:rPr>
          <w:sz w:val="20"/>
          <w:szCs w:val="20"/>
          <w:color w:val="auto"/>
        </w:rPr>
      </w:pPr>
      <w:r>
        <w:rPr>
          <w:rFonts w:ascii="Arial" w:cs="Arial" w:eastAsia="Arial" w:hAnsi="Arial"/>
          <w:sz w:val="16"/>
          <w:szCs w:val="16"/>
          <w:color w:val="auto"/>
        </w:rPr>
        <w:t>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with a customer under Topic 606, including when it is probable that the Company will collect the consideration it is entitled to in exchange for the goods or services it transfers to the customer. At contract inception, once the contract is determined to be within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6" w:name="page167"/>
    <w:bookmarkEnd w:id="1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scope of Topic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revenue, see Product Revenue, Net (below).</w:t>
      </w:r>
    </w:p>
    <w:p>
      <w:pPr>
        <w:spacing w:after="0" w:line="188" w:lineRule="exact"/>
        <w:rPr>
          <w:sz w:val="20"/>
          <w:szCs w:val="20"/>
          <w:color w:val="auto"/>
        </w:rPr>
      </w:pPr>
    </w:p>
    <w:p>
      <w:pPr>
        <w:ind w:left="60" w:right="59" w:firstLine="441"/>
        <w:spacing w:after="0" w:line="257" w:lineRule="auto"/>
        <w:rPr>
          <w:sz w:val="20"/>
          <w:szCs w:val="20"/>
          <w:color w:val="auto"/>
        </w:rPr>
      </w:pPr>
      <w:r>
        <w:rPr>
          <w:rFonts w:ascii="Arial" w:cs="Arial" w:eastAsia="Arial" w:hAnsi="Arial"/>
          <w:sz w:val="18"/>
          <w:szCs w:val="18"/>
          <w:i w:val="1"/>
          <w:iCs w:val="1"/>
          <w:color w:val="auto"/>
        </w:rPr>
        <w:t>Product Revenue, Net</w:t>
      </w:r>
      <w:r>
        <w:rPr>
          <w:rFonts w:ascii="Arial" w:cs="Arial" w:eastAsia="Arial" w:hAnsi="Arial"/>
          <w:sz w:val="18"/>
          <w:szCs w:val="18"/>
          <w:color w:val="auto"/>
        </w:rPr>
        <w:t>— The Company derives its product revenues from the sale of DEXTENZA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to customers, which includes a limited number of specialty distributors, who then subsequently resell DEXTENZA to physicians, clinics and certain medical centers or hospitals. In addition to distribution agreements with customers, the Company enters into arrangements with government payers that provide for government mandated rebates and chargebacks with respect to the purchase of DEXTENZA.</w:t>
      </w:r>
    </w:p>
    <w:p>
      <w:pPr>
        <w:spacing w:after="0" w:line="188" w:lineRule="exact"/>
        <w:rPr>
          <w:sz w:val="20"/>
          <w:szCs w:val="20"/>
          <w:color w:val="auto"/>
        </w:rPr>
      </w:pPr>
    </w:p>
    <w:p>
      <w:pPr>
        <w:ind w:left="60" w:right="79" w:firstLine="441"/>
        <w:spacing w:after="0" w:line="271" w:lineRule="auto"/>
        <w:rPr>
          <w:sz w:val="20"/>
          <w:szCs w:val="20"/>
          <w:color w:val="auto"/>
        </w:rPr>
      </w:pPr>
      <w:r>
        <w:rPr>
          <w:rFonts w:ascii="Arial" w:cs="Arial" w:eastAsia="Arial" w:hAnsi="Arial"/>
          <w:sz w:val="17"/>
          <w:szCs w:val="17"/>
          <w:color w:val="auto"/>
        </w:rPr>
        <w:t>The Company recognizes revenue on product sales when the customer obtains control of the Company's product, which occurs at a point in time (upon delivery to the customer). The Company has determined that the delivery of DEXTENZA to its customers constitutes a single performance obligation. There are no other promises to deliver goods or services beyond what is specified in each accepted customer order. The Company has assessed the existence of a significant financing component in the agreements with its customers. The trade payment terms with the Company’s customers do not exceed one year and therefore the Company has elected to apply the practical expedient and no amount of consideration has been allocated as a financing component. Product revenues are recorded net of applicable reserves for variable consideration, including discounts and allowances.</w:t>
      </w:r>
    </w:p>
    <w:p>
      <w:pPr>
        <w:spacing w:after="0" w:line="178" w:lineRule="exact"/>
        <w:rPr>
          <w:sz w:val="20"/>
          <w:szCs w:val="20"/>
          <w:color w:val="auto"/>
        </w:rPr>
      </w:pPr>
    </w:p>
    <w:p>
      <w:pPr>
        <w:ind w:left="60" w:right="139" w:firstLine="441"/>
        <w:spacing w:after="0" w:line="287" w:lineRule="auto"/>
        <w:rPr>
          <w:sz w:val="20"/>
          <w:szCs w:val="20"/>
          <w:color w:val="auto"/>
        </w:rPr>
      </w:pPr>
      <w:r>
        <w:rPr>
          <w:rFonts w:ascii="Arial" w:cs="Arial" w:eastAsia="Arial" w:hAnsi="Arial"/>
          <w:sz w:val="16"/>
          <w:szCs w:val="16"/>
          <w:i w:val="1"/>
          <w:iCs w:val="1"/>
          <w:color w:val="auto"/>
        </w:rPr>
        <w:t>Transaction Price, including Variable Consideration</w:t>
      </w:r>
      <w:r>
        <w:rPr>
          <w:rFonts w:ascii="Arial" w:cs="Arial" w:eastAsia="Arial" w:hAnsi="Arial"/>
          <w:sz w:val="16"/>
          <w:szCs w:val="16"/>
          <w:color w:val="auto"/>
        </w:rPr>
        <w:t>— Revenues from product sales are recorded at the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price (transaction price), which includes estimates of variable consideration for which reserves are established. Components of variable consideration include trade discounts and allowances, product returns, government chargebacks, discounts and rebates, and other incentives, such as voluntary patient assistance, and other fee-for-service amounts that are detailed within contracts between the Company and its customers relating to the Company’s sale of DEXTENZA. These reserves, as detailed below, are based on the amounts earned, or to be claimed on the related sales, and are classified as reductions of accounts receivable or a current liability.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w:t>
      </w:r>
    </w:p>
    <w:p>
      <w:pPr>
        <w:spacing w:after="0" w:line="172" w:lineRule="exact"/>
        <w:rPr>
          <w:sz w:val="20"/>
          <w:szCs w:val="20"/>
          <w:color w:val="auto"/>
        </w:rPr>
      </w:pPr>
    </w:p>
    <w:p>
      <w:pPr>
        <w:ind w:left="60" w:right="79" w:firstLine="441"/>
        <w:spacing w:after="0" w:line="255" w:lineRule="auto"/>
        <w:rPr>
          <w:sz w:val="20"/>
          <w:szCs w:val="20"/>
          <w:color w:val="auto"/>
        </w:rPr>
      </w:pPr>
      <w:r>
        <w:rPr>
          <w:rFonts w:ascii="Arial" w:cs="Arial" w:eastAsia="Arial" w:hAnsi="Arial"/>
          <w:sz w:val="18"/>
          <w:szCs w:val="18"/>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the Company’s estimates. If actual results in the future vary from the Company’s original estimates, the Company will adjust these estimates, which would affect net product revenue and earnings in the period such variances become known.</w:t>
      </w:r>
    </w:p>
    <w:p>
      <w:pPr>
        <w:spacing w:after="0" w:line="192" w:lineRule="exact"/>
        <w:rPr>
          <w:sz w:val="20"/>
          <w:szCs w:val="20"/>
          <w:color w:val="auto"/>
        </w:rPr>
      </w:pPr>
    </w:p>
    <w:p>
      <w:pPr>
        <w:ind w:left="60" w:right="139" w:firstLine="441"/>
        <w:spacing w:after="0" w:line="275" w:lineRule="auto"/>
        <w:rPr>
          <w:sz w:val="20"/>
          <w:szCs w:val="20"/>
          <w:color w:val="auto"/>
        </w:rPr>
      </w:pPr>
      <w:r>
        <w:rPr>
          <w:rFonts w:ascii="Arial" w:cs="Arial" w:eastAsia="Arial" w:hAnsi="Arial"/>
          <w:sz w:val="17"/>
          <w:szCs w:val="17"/>
          <w:i w:val="1"/>
          <w:iCs w:val="1"/>
          <w:color w:val="auto"/>
        </w:rPr>
        <w:t>Trade Discounts and Allowances</w:t>
      </w:r>
      <w:r>
        <w:rPr>
          <w:rFonts w:ascii="Arial" w:cs="Arial" w:eastAsia="Arial" w:hAnsi="Arial"/>
          <w:sz w:val="17"/>
          <w:szCs w:val="17"/>
          <w:color w:val="auto"/>
        </w:rPr>
        <w:t>—The Company compensates (through trade discounts and allowances) its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for sales order management, data, and distribution services. However, the Company has determined such services received to date are not distinct from the Company’s sale of products to the customer and, therefore, these payments have been recorded as a reduction of revenue within the statement of operations and comprehensive loss, as well as a reduction to accounts receivables, net on the consolidated balance sheets.</w:t>
      </w:r>
    </w:p>
    <w:p>
      <w:pPr>
        <w:spacing w:after="0" w:line="176" w:lineRule="exact"/>
        <w:rPr>
          <w:sz w:val="20"/>
          <w:szCs w:val="20"/>
          <w:color w:val="auto"/>
        </w:rPr>
      </w:pPr>
    </w:p>
    <w:p>
      <w:pPr>
        <w:ind w:left="60" w:right="159" w:firstLine="441"/>
        <w:spacing w:after="0" w:line="254" w:lineRule="auto"/>
        <w:rPr>
          <w:sz w:val="20"/>
          <w:szCs w:val="20"/>
          <w:color w:val="auto"/>
        </w:rPr>
      </w:pPr>
      <w:r>
        <w:rPr>
          <w:rFonts w:ascii="Arial" w:cs="Arial" w:eastAsia="Arial" w:hAnsi="Arial"/>
          <w:sz w:val="18"/>
          <w:szCs w:val="18"/>
          <w:i w:val="1"/>
          <w:iCs w:val="1"/>
          <w:color w:val="auto"/>
        </w:rPr>
        <w:t>Product Returns</w:t>
      </w:r>
      <w:r>
        <w:rPr>
          <w:rFonts w:ascii="Arial" w:cs="Arial" w:eastAsia="Arial" w:hAnsi="Arial"/>
          <w:sz w:val="18"/>
          <w:szCs w:val="18"/>
          <w:color w:val="auto"/>
        </w:rPr>
        <w:t>— Consistent with industry practice, the Company generally offers customers a limited right of</w:t>
      </w:r>
      <w:r>
        <w:rPr>
          <w:rFonts w:ascii="Arial" w:cs="Arial" w:eastAsia="Arial" w:hAnsi="Arial"/>
          <w:sz w:val="18"/>
          <w:szCs w:val="18"/>
          <w:i w:val="1"/>
          <w:iCs w:val="1"/>
          <w:color w:val="auto"/>
        </w:rPr>
        <w:t xml:space="preserve"> </w:t>
      </w:r>
      <w:r>
        <w:rPr>
          <w:rFonts w:ascii="Arial" w:cs="Arial" w:eastAsia="Arial" w:hAnsi="Arial"/>
          <w:sz w:val="18"/>
          <w:szCs w:val="18"/>
          <w:color w:val="auto"/>
        </w:rPr>
        <w:t>return for product that has been purchased from the Company in certain circumstances as further discussed below. The Company estimates the amount of its product sales that may be returned by its customers and records this estimate as a reduction of revenue in the period the related product revenue is recognized, as well as within accrued expenses and other current liabilities, in the accompanying consolidated balance sheets. The Company currently estimates product return reserves using available industry data and its own sales information, including its visibility into the inventory remaining in the distribution channel. The Company has received no returns to date and believes the returns of DEXTENZA will be minimal.</w:t>
      </w:r>
    </w:p>
    <w:p>
      <w:pPr>
        <w:spacing w:after="0" w:line="192" w:lineRule="exact"/>
        <w:rPr>
          <w:sz w:val="20"/>
          <w:szCs w:val="20"/>
          <w:color w:val="auto"/>
        </w:rPr>
      </w:pPr>
    </w:p>
    <w:p>
      <w:pPr>
        <w:ind w:left="60" w:right="259" w:firstLine="441"/>
        <w:spacing w:after="0" w:line="342" w:lineRule="auto"/>
        <w:rPr>
          <w:sz w:val="20"/>
          <w:szCs w:val="20"/>
          <w:color w:val="auto"/>
        </w:rPr>
      </w:pPr>
      <w:r>
        <w:rPr>
          <w:rFonts w:ascii="Arial" w:cs="Arial" w:eastAsia="Arial" w:hAnsi="Arial"/>
          <w:sz w:val="16"/>
          <w:szCs w:val="16"/>
          <w:i w:val="1"/>
          <w:iCs w:val="1"/>
          <w:color w:val="auto"/>
        </w:rPr>
        <w:t>Government Chargebacks</w:t>
      </w:r>
      <w:r>
        <w:rPr>
          <w:rFonts w:ascii="Arial" w:cs="Arial" w:eastAsia="Arial" w:hAnsi="Arial"/>
          <w:sz w:val="16"/>
          <w:szCs w:val="16"/>
          <w:color w:val="auto"/>
        </w:rPr>
        <w:t>— Chargebacks for fees and discounts to qualified government healthcare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 the estimated obligations resulting from contractual commitments to sell products to qualified </w:t>
      </w:r>
      <w:r>
        <w:rPr>
          <w:rFonts w:ascii="Arial" w:cs="Arial" w:eastAsia="Arial" w:hAnsi="Arial"/>
          <w:sz w:val="16"/>
          <w:szCs w:val="16"/>
          <w:color w:val="222222"/>
        </w:rPr>
        <w:t>U.S.</w:t>
      </w:r>
      <w:r>
        <w:rPr>
          <w:rFonts w:ascii="Arial" w:cs="Arial" w:eastAsia="Arial" w:hAnsi="Arial"/>
          <w:sz w:val="16"/>
          <w:szCs w:val="16"/>
          <w:color w:val="auto"/>
        </w:rPr>
        <w:t xml:space="preserve"> Department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7" w:name="page168"/>
    <w:bookmarkEnd w:id="1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 xml:space="preserve">of Veterans Affairs hospitals and 340B entities at prices lower than the list prices charged to customers who directly purchase the product from the Company. </w:t>
      </w:r>
      <w:r>
        <w:rPr>
          <w:rFonts w:ascii="Arial" w:cs="Arial" w:eastAsia="Arial" w:hAnsi="Arial"/>
          <w:sz w:val="17"/>
          <w:szCs w:val="17"/>
          <w:color w:val="222222"/>
        </w:rPr>
        <w:t>The 340B Drug Discount Program is a U.S. federal government program created</w:t>
      </w:r>
      <w:r>
        <w:rPr>
          <w:rFonts w:ascii="Arial" w:cs="Arial" w:eastAsia="Arial" w:hAnsi="Arial"/>
          <w:sz w:val="17"/>
          <w:szCs w:val="17"/>
          <w:color w:val="auto"/>
        </w:rPr>
        <w:t xml:space="preserve"> </w:t>
      </w:r>
      <w:r>
        <w:rPr>
          <w:rFonts w:ascii="Arial" w:cs="Arial" w:eastAsia="Arial" w:hAnsi="Arial"/>
          <w:sz w:val="17"/>
          <w:szCs w:val="17"/>
          <w:color w:val="222222"/>
        </w:rPr>
        <w:t xml:space="preserve">in 1992 that requires drug manufacturers to provide outpatient drugs to eligible health care organizations and covered entities at significantly reduced prices. </w:t>
      </w:r>
      <w:r>
        <w:rPr>
          <w:rFonts w:ascii="Arial" w:cs="Arial" w:eastAsia="Arial" w:hAnsi="Arial"/>
          <w:sz w:val="17"/>
          <w:szCs w:val="17"/>
          <w:color w:val="000000"/>
        </w:rPr>
        <w:t>Customers charge the Company for the difference between what they pay for the</w:t>
      </w:r>
      <w:r>
        <w:rPr>
          <w:rFonts w:ascii="Arial" w:cs="Arial" w:eastAsia="Arial" w:hAnsi="Arial"/>
          <w:sz w:val="17"/>
          <w:szCs w:val="17"/>
          <w:color w:val="222222"/>
        </w:rPr>
        <w:t xml:space="preserve"> </w:t>
      </w:r>
      <w:r>
        <w:rPr>
          <w:rFonts w:ascii="Arial" w:cs="Arial" w:eastAsia="Arial" w:hAnsi="Arial"/>
          <w:sz w:val="17"/>
          <w:szCs w:val="17"/>
          <w:color w:val="000000"/>
        </w:rPr>
        <w:t>product and the statutory selling price to the qualified government entity. These allowances are established in the same period that the related revenue is recognized, resulting in a reduction of product revenue and accounts receivables, net. Chargeback amounts are generally determined at the time of resale to the qualified government healthcare provider by customers, and the Company generally issues credits for such amounts within a few weeks of the Customer’s notification to the Company of the resale. Allowance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79" w:lineRule="exact"/>
        <w:rPr>
          <w:sz w:val="20"/>
          <w:szCs w:val="20"/>
          <w:color w:val="auto"/>
        </w:rPr>
      </w:pPr>
    </w:p>
    <w:p>
      <w:pPr>
        <w:ind w:left="60" w:right="79" w:firstLine="441"/>
        <w:spacing w:after="0" w:line="288" w:lineRule="auto"/>
        <w:rPr>
          <w:sz w:val="20"/>
          <w:szCs w:val="20"/>
          <w:color w:val="auto"/>
        </w:rPr>
      </w:pPr>
      <w:r>
        <w:rPr>
          <w:rFonts w:ascii="Arial" w:cs="Arial" w:eastAsia="Arial" w:hAnsi="Arial"/>
          <w:sz w:val="16"/>
          <w:szCs w:val="16"/>
          <w:i w:val="1"/>
          <w:iCs w:val="1"/>
          <w:color w:val="auto"/>
        </w:rPr>
        <w:t>Government Rebates</w:t>
      </w:r>
      <w:r>
        <w:rPr>
          <w:rFonts w:ascii="Arial" w:cs="Arial" w:eastAsia="Arial" w:hAnsi="Arial"/>
          <w:sz w:val="16"/>
          <w:szCs w:val="16"/>
          <w:color w:val="auto"/>
        </w:rPr>
        <w:t>— The Company is subject to discount obligations under state Medicaid programs and</w:t>
      </w:r>
      <w:r>
        <w:rPr>
          <w:rFonts w:ascii="Arial" w:cs="Arial" w:eastAsia="Arial" w:hAnsi="Arial"/>
          <w:sz w:val="16"/>
          <w:szCs w:val="16"/>
          <w:i w:val="1"/>
          <w:iCs w:val="1"/>
          <w:color w:val="auto"/>
        </w:rPr>
        <w:t xml:space="preserve"> </w:t>
      </w:r>
      <w:r>
        <w:rPr>
          <w:rFonts w:ascii="Arial" w:cs="Arial" w:eastAsia="Arial" w:hAnsi="Arial"/>
          <w:sz w:val="16"/>
          <w:szCs w:val="16"/>
          <w:color w:val="auto"/>
        </w:rPr>
        <w:t>Medicare. These reserves are recorded in the same period the related revenue is recognized, resulting in a reduction of product revenue and the establishment of a current liability which is included in accrued expenses and other current liabilities on the consolidated balance sheets. For Medicare, the Company also estimates the number of patients in the prescription drug coverage gap for whom the Company will owe an additional liability under the Medicare Part D program. For Medicaid programs, the Company estimates the portion of sales attributed to Medicaid patients and records a liability for the rebates to be paid to the respective state Medicaid programs.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168" w:lineRule="exact"/>
        <w:rPr>
          <w:sz w:val="20"/>
          <w:szCs w:val="20"/>
          <w:color w:val="auto"/>
        </w:rPr>
      </w:pPr>
    </w:p>
    <w:p>
      <w:pPr>
        <w:ind w:left="60" w:right="279" w:firstLine="441"/>
        <w:spacing w:after="0" w:line="290" w:lineRule="auto"/>
        <w:rPr>
          <w:sz w:val="20"/>
          <w:szCs w:val="20"/>
          <w:color w:val="auto"/>
        </w:rPr>
      </w:pPr>
      <w:r>
        <w:rPr>
          <w:rFonts w:ascii="Arial" w:cs="Arial" w:eastAsia="Arial" w:hAnsi="Arial"/>
          <w:sz w:val="16"/>
          <w:szCs w:val="16"/>
          <w:i w:val="1"/>
          <w:iCs w:val="1"/>
          <w:color w:val="auto"/>
        </w:rPr>
        <w:t>Rebates</w:t>
      </w:r>
      <w:r>
        <w:rPr>
          <w:rFonts w:ascii="Arial" w:cs="Arial" w:eastAsia="Arial" w:hAnsi="Arial"/>
          <w:sz w:val="16"/>
          <w:szCs w:val="16"/>
          <w:color w:val="auto"/>
        </w:rPr>
        <w:t>— The Company offers rebate payments for which ambulatory surgical centers, hospital out-patient</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departments and other prescribers qualify by meeting quarterly purchase volumes of DEXTENZA under the Company’s rebate program. The Company calculates rebate payment amounts due under this program quarterly, based on actual qualifying purchase and applies a contractual discount rate. The calculation of the accrual for rebates is based on an estimate of claims that the Company expects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as an accrued expenses and other current liabilities on the consolidated balance sheets.</w:t>
      </w:r>
    </w:p>
    <w:p>
      <w:pPr>
        <w:spacing w:after="0" w:line="192" w:lineRule="exact"/>
        <w:rPr>
          <w:sz w:val="20"/>
          <w:szCs w:val="20"/>
          <w:color w:val="auto"/>
        </w:rPr>
      </w:pPr>
    </w:p>
    <w:p>
      <w:pPr>
        <w:ind w:left="60" w:right="139" w:firstLine="441"/>
        <w:spacing w:after="0" w:line="271" w:lineRule="auto"/>
        <w:rPr>
          <w:sz w:val="20"/>
          <w:szCs w:val="20"/>
          <w:color w:val="auto"/>
        </w:rPr>
      </w:pPr>
      <w:r>
        <w:rPr>
          <w:rFonts w:ascii="Arial" w:cs="Arial" w:eastAsia="Arial" w:hAnsi="Arial"/>
          <w:sz w:val="17"/>
          <w:szCs w:val="17"/>
          <w:i w:val="1"/>
          <w:iCs w:val="1"/>
          <w:color w:val="auto"/>
        </w:rPr>
        <w:t>Other Incentives</w:t>
      </w:r>
      <w:r>
        <w:rPr>
          <w:rFonts w:ascii="Arial" w:cs="Arial" w:eastAsia="Arial" w:hAnsi="Arial"/>
          <w:sz w:val="17"/>
          <w:szCs w:val="17"/>
          <w:color w:val="auto"/>
        </w:rPr>
        <w:t>— Other incentives which the Company offers include voluntary patient assistance programs,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the co-pay assistance 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as an accrued expenses and other current liabilities on the consolidated balance sheets.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ind w:left="60" w:right="119" w:firstLine="441"/>
        <w:spacing w:after="0" w:line="257" w:lineRule="auto"/>
        <w:rPr>
          <w:sz w:val="20"/>
          <w:szCs w:val="20"/>
          <w:color w:val="auto"/>
        </w:rPr>
      </w:pPr>
      <w:r>
        <w:rPr>
          <w:rFonts w:ascii="Arial" w:cs="Arial" w:eastAsia="Arial" w:hAnsi="Arial"/>
          <w:sz w:val="18"/>
          <w:szCs w:val="18"/>
          <w:color w:val="auto"/>
        </w:rPr>
        <w:t>To determine the appropriate amount of revenue to be recognized for arrangements the Company determines are within the scope of Topic 606, the Company performs the following steps: (i) identify the contract(s) with its customer; (ii) identify the performance obligations in the contract; (iii) determine the transaction price; (iv) allocate the transaction price to the performance obligations in the contract; and (v) recognize revenue when or as each performance obligation is satisfied.</w:t>
      </w:r>
    </w:p>
    <w:p>
      <w:pPr>
        <w:spacing w:after="0" w:line="188" w:lineRule="exact"/>
        <w:rPr>
          <w:sz w:val="20"/>
          <w:szCs w:val="20"/>
          <w:color w:val="auto"/>
        </w:rPr>
      </w:pPr>
    </w:p>
    <w:p>
      <w:pPr>
        <w:ind w:left="60" w:right="99" w:firstLine="441"/>
        <w:spacing w:after="0" w:line="293" w:lineRule="auto"/>
        <w:rPr>
          <w:sz w:val="20"/>
          <w:szCs w:val="20"/>
          <w:color w:val="auto"/>
        </w:rPr>
      </w:pPr>
      <w:r>
        <w:rPr>
          <w:rFonts w:ascii="Arial" w:cs="Arial" w:eastAsia="Arial" w:hAnsi="Arial"/>
          <w:sz w:val="16"/>
          <w:szCs w:val="16"/>
          <w:color w:val="auto"/>
        </w:rPr>
        <w:t>The Company accounts for a contract with a customer that is within the scope of Topic 606 when all of the following criteria are met: (i) the arrangement has been approved by the parties and the parties are committed to perform their respective obligations; (ii) each party’s rights regarding the goods and/or services to be transferred can be identified; (iii) the payment terms for the goods and/or services to be transferred can be identified; (iv) the arrangement has commercial substance; and (v) collection of substantially all of the consideration to which the Company will be entitled in exchange for the goods and/or services that will be transferred to the customer is probable. The Company also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8" w:name="page169"/>
    <w:bookmarkEnd w:id="1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determines the term of the contract based on the period in which the Company and its customer have present and enforceable rights and obligations for purposes of identifying the performance obligations and determining the transaction price.</w:t>
      </w:r>
    </w:p>
    <w:p>
      <w:pPr>
        <w:spacing w:after="0" w:line="184" w:lineRule="exact"/>
        <w:rPr>
          <w:sz w:val="20"/>
          <w:szCs w:val="20"/>
          <w:color w:val="auto"/>
        </w:rPr>
      </w:pPr>
    </w:p>
    <w:p>
      <w:pPr>
        <w:ind w:left="60" w:right="79" w:firstLine="441"/>
        <w:spacing w:after="0" w:line="268" w:lineRule="auto"/>
        <w:rPr>
          <w:sz w:val="20"/>
          <w:szCs w:val="20"/>
          <w:color w:val="auto"/>
        </w:rPr>
      </w:pPr>
      <w:r>
        <w:rPr>
          <w:rFonts w:ascii="Arial" w:cs="Arial" w:eastAsia="Arial" w:hAnsi="Arial"/>
          <w:sz w:val="17"/>
          <w:szCs w:val="17"/>
          <w:color w:val="auto"/>
        </w:rPr>
        <w:t>The Company evaluates contracts that contain multiple promises to determine which promises are distinct. Promises are considered to be distinct and therefore, accounted for as separate performance obligations, provided that: (i) the customer can benefit from the good or service either on its own or together with other resources that are readily available to the customer and (ii) the promise to transfer the good or service to the customer is separately identifiable from other promises in the contract. In assessing whether a promise is distinct, the Company considers factors such as whether: (i) the Company provides a significant service of integrating goods and/or services with other goods and/or services promised in the contract; (ii) one or more of the goods and/or services significantly modifies or customizes, or are significantly modified or customized by one or more of the other goods and/or services promised in the contract; and (iii) the goods and/or services are highly interdependent or highly interrelated. Individual goods or services (or bundles of goods and/or services) that meet both criteria for being distinct are accounted for as separate performance obligations. Promises that are not distinct at contract inception are combined and accounted for as a single performance obligation. Options to acquire additional goods and/or services are evaluated to determine if such option provides a material right to the customer that it would not have received without entering into the contract. If so, the option is accounted for as a separate performance obligation. If not, the option is considered a marketing offer which would be accounted for as a separate contract upon the customer’s election.</w:t>
      </w:r>
    </w:p>
    <w:p>
      <w:pPr>
        <w:spacing w:after="0" w:line="209" w:lineRule="exact"/>
        <w:rPr>
          <w:sz w:val="20"/>
          <w:szCs w:val="20"/>
          <w:color w:val="auto"/>
        </w:rPr>
      </w:pPr>
    </w:p>
    <w:p>
      <w:pPr>
        <w:ind w:left="60" w:right="59" w:firstLine="441"/>
        <w:spacing w:after="0" w:line="284" w:lineRule="auto"/>
        <w:rPr>
          <w:sz w:val="20"/>
          <w:szCs w:val="20"/>
          <w:color w:val="auto"/>
        </w:rPr>
      </w:pPr>
      <w:r>
        <w:rPr>
          <w:rFonts w:ascii="Arial" w:cs="Arial" w:eastAsia="Arial" w:hAnsi="Arial"/>
          <w:sz w:val="16"/>
          <w:szCs w:val="16"/>
          <w:color w:val="auto"/>
        </w:rPr>
        <w:t>The transaction price is generally comprised of an upfront payment due at contract inception and variable consideration in the form of payments for the Company’s goods and services and materials and milestone payments due upon the achievement of specified events. Other payments the Company could be entitled to include tiered royalties earned when customers recognize net sales of licensed products. The Company considers the existence of any significant financing component within its arrangements and have determined that a significant financing component does not exist in its arrangements as substantive business purposes exist to support the payment structure other than to provide a significant benefit of financing. The Company measures the transaction price based on the amount of consideration to which the Company expects to be entitled in exchange for transferring the promised goods and/or services to the customer. The Company utilizes either the expected value method or the most likely amount method to estimate the amount of variable consideration, depending on which method is expected to better predict the amount of consideration to which the Company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With respect to arrangements that include payments for a development or regulatory milestone payment, the Company evaluates whether the associated event is considered likely of achievement and estimates the amount to be included in the transaction price using the most likely amount method. Milestone payments that are not within the Company’s control or the licensee, such as those dependent upon receipt of regulatory approval, are not considered to be likely of achievement until the triggering event occurs. At the end of each reporting period, the Company re-evaluates the probability of achievement of each milestone and any related constraint, and if necessary, adjust its estimate of the overall transaction price. Any such adjustments are recorded on a cumulative catch-up basis, which would affect revenue and net loss in the period of adjustment. For arrangements that include sales-based royalties, including milestone payments based upon the achievement of a certain level of product sales, wherein the license is deemed to be the sole or predominant item to which the payments relate, the Company recognizes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spacing w:after="0" w:line="200" w:lineRule="exact"/>
        <w:rPr>
          <w:sz w:val="20"/>
          <w:szCs w:val="20"/>
          <w:color w:val="auto"/>
        </w:rPr>
      </w:pPr>
    </w:p>
    <w:p>
      <w:pPr>
        <w:ind w:left="60" w:right="199" w:firstLine="441"/>
        <w:spacing w:after="0" w:line="257" w:lineRule="auto"/>
        <w:rPr>
          <w:sz w:val="20"/>
          <w:szCs w:val="20"/>
          <w:color w:val="auto"/>
        </w:rPr>
      </w:pPr>
      <w:r>
        <w:rPr>
          <w:rFonts w:ascii="Arial" w:cs="Arial" w:eastAsia="Arial" w:hAnsi="Arial"/>
          <w:sz w:val="18"/>
          <w:szCs w:val="18"/>
          <w:color w:val="auto"/>
        </w:rPr>
        <w:t>The Company recognizes as an asset the incremental costs of obtaining a contract with a customer if the costs are expected to be recovered. The Company has elected a practical expedient wherein it recognizes the incremental costs of obtaining a contract as an expense when incurred if the amortization period of the asset that it otherwise would have recognized is one year or less. To date, the Company has not incurred any incremental costs of obtaining a contract with a customer.</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left="60" w:right="199" w:firstLine="441"/>
        <w:spacing w:after="0" w:line="311" w:lineRule="auto"/>
        <w:rPr>
          <w:sz w:val="20"/>
          <w:szCs w:val="20"/>
          <w:color w:val="auto"/>
        </w:rPr>
      </w:pPr>
      <w:r>
        <w:rPr>
          <w:rFonts w:ascii="Arial" w:cs="Arial" w:eastAsia="Arial" w:hAnsi="Arial"/>
          <w:sz w:val="16"/>
          <w:szCs w:val="16"/>
          <w:color w:val="auto"/>
        </w:rPr>
        <w:t>The Company values its inventories at the lower of cost or estimated net realizable value. The Company determines the cost of its inventories, which includes amounts related to materials and manufacturing overhead, on a first-in, first-out basis. The Company performs an assessment of the recoverability of capitalized inventory during each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9" w:name="page170"/>
    <w:bookmarkEnd w:id="1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reporting period, and it writes down any excess and obsolete inventories to their estimated realizable value in the period in which the impairment is first identified. Such impairment charges, should they occur, are recorded within cost of product revenue. The determination of whether inventory costs will be realizable requires estimates by management. If actual market conditions are less favorable than projected by management, additional write-downs of inventory may be required, which would be recorded as a cost of product revenue in the consolidated statements of operations and comprehensive loss.</w:t>
      </w:r>
    </w:p>
    <w:p>
      <w:pPr>
        <w:spacing w:after="0" w:line="161" w:lineRule="exact"/>
        <w:rPr>
          <w:sz w:val="20"/>
          <w:szCs w:val="20"/>
          <w:color w:val="auto"/>
        </w:rPr>
      </w:pPr>
    </w:p>
    <w:p>
      <w:pPr>
        <w:ind w:left="60" w:right="119" w:firstLine="441"/>
        <w:spacing w:after="0" w:line="272" w:lineRule="auto"/>
        <w:rPr>
          <w:sz w:val="20"/>
          <w:szCs w:val="20"/>
          <w:color w:val="auto"/>
        </w:rPr>
      </w:pPr>
      <w:r>
        <w:rPr>
          <w:rFonts w:ascii="Arial" w:cs="Arial" w:eastAsia="Arial" w:hAnsi="Arial"/>
          <w:sz w:val="17"/>
          <w:szCs w:val="17"/>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prior to receipt of marketing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 Inventory produced that will be used in promotional marketing campaigns is expensed to selling and marketing expense when it is selected for use in a marketing program.</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consisted of the following:</w:t>
      </w:r>
    </w:p>
    <w:p>
      <w:pPr>
        <w:spacing w:after="0" w:line="24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209"/>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09"/>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60" w:right="59" w:firstLine="441"/>
        <w:spacing w:after="0" w:line="263" w:lineRule="auto"/>
        <w:rPr>
          <w:sz w:val="20"/>
          <w:szCs w:val="20"/>
          <w:color w:val="auto"/>
        </w:rPr>
      </w:pPr>
      <w:r>
        <w:rPr>
          <w:rFonts w:ascii="Arial" w:cs="Arial" w:eastAsia="Arial" w:hAnsi="Arial"/>
          <w:sz w:val="18"/>
          <w:szCs w:val="18"/>
          <w:color w:val="auto"/>
        </w:rPr>
        <w:t>As of December 31, 2020 and 2019, the Company held restricted cash of $1,764, respectively, on its consolidated balance sheet. The Company held restricted cash as security deposits for the lease of its manufacturing space and corporate headquarters.</w:t>
      </w:r>
    </w:p>
    <w:p>
      <w:pPr>
        <w:spacing w:after="0" w:line="184" w:lineRule="exact"/>
        <w:rPr>
          <w:sz w:val="20"/>
          <w:szCs w:val="20"/>
          <w:color w:val="auto"/>
        </w:rPr>
      </w:pPr>
    </w:p>
    <w:p>
      <w:pPr>
        <w:ind w:left="60" w:right="99" w:firstLine="441"/>
        <w:spacing w:after="0" w:line="259" w:lineRule="auto"/>
        <w:rPr>
          <w:sz w:val="20"/>
          <w:szCs w:val="20"/>
          <w:color w:val="auto"/>
        </w:rPr>
      </w:pPr>
      <w:r>
        <w:rPr>
          <w:rFonts w:ascii="Arial" w:cs="Arial" w:eastAsia="Arial" w:hAnsi="Arial"/>
          <w:sz w:val="18"/>
          <w:szCs w:val="18"/>
          <w:color w:val="auto"/>
        </w:rPr>
        <w:t>The Company’s statements of cash flows include restricted cash with cash and cash equivalents when reconciling the beginning-of-period and end-of-period total amounts shown on such statements. A reconciliation of the cash, cash equivalents, and restricted cash reported within the balance sheet that sum to the total of the same amounts shown in the statement of cash flows is as follows:</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4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54,437</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182"/>
        </w:trPr>
        <w:tc>
          <w:tcPr>
            <w:tcW w:w="4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0"/>
              </w:rPr>
              <w:t>Total cash, cash equivalents and restricted cash as shown on the</w:t>
            </w: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229,821</w:t>
            </w:r>
          </w:p>
        </w:tc>
        <w:tc>
          <w:tcPr>
            <w:tcW w:w="14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56,201</w:t>
            </w:r>
          </w:p>
        </w:tc>
        <w:tc>
          <w:tcPr>
            <w:tcW w:w="0" w:type="dxa"/>
            <w:vAlign w:val="bottom"/>
          </w:tcPr>
          <w:p>
            <w:pPr>
              <w:spacing w:after="0"/>
              <w:rPr>
                <w:sz w:val="1"/>
                <w:szCs w:val="1"/>
                <w:color w:val="auto"/>
              </w:rPr>
            </w:pPr>
          </w:p>
        </w:tc>
      </w:tr>
      <w:tr>
        <w:trPr>
          <w:trHeight w:val="217"/>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statements of cash flows</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 of Credit Risk and of Significant Suppliers and Customers</w:t>
      </w:r>
    </w:p>
    <w:p>
      <w:pPr>
        <w:spacing w:after="0" w:line="225" w:lineRule="exact"/>
        <w:rPr>
          <w:sz w:val="20"/>
          <w:szCs w:val="20"/>
          <w:color w:val="auto"/>
        </w:rPr>
      </w:pPr>
    </w:p>
    <w:p>
      <w:pPr>
        <w:ind w:left="60" w:right="219" w:firstLine="441"/>
        <w:spacing w:after="0" w:line="301"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cash equivalents and accounts receivable. The Company has all cash and cash equivalents balances at one accredited financial institution, in amounts that exceed federally insured limits. The Company does not believe that it is subject to unusual credit risk beyond the normal credit risk associated with commercial banking relationships.</w:t>
      </w:r>
    </w:p>
    <w:p>
      <w:pPr>
        <w:spacing w:after="0" w:line="171" w:lineRule="exact"/>
        <w:rPr>
          <w:sz w:val="20"/>
          <w:szCs w:val="20"/>
          <w:color w:val="auto"/>
        </w:rPr>
      </w:pPr>
    </w:p>
    <w:p>
      <w:pPr>
        <w:ind w:left="60" w:right="199" w:firstLine="441"/>
        <w:spacing w:after="0" w:line="259" w:lineRule="auto"/>
        <w:rPr>
          <w:sz w:val="20"/>
          <w:szCs w:val="20"/>
          <w:color w:val="auto"/>
        </w:rPr>
      </w:pPr>
      <w:r>
        <w:rPr>
          <w:rFonts w:ascii="Arial" w:cs="Arial" w:eastAsia="Arial" w:hAnsi="Arial"/>
          <w:sz w:val="18"/>
          <w:szCs w:val="18"/>
          <w:color w:val="auto"/>
        </w:rPr>
        <w:t>The Company is dependent on a small number of third-party manufacturers to supply products for research and development activities in its preclinical and clinical programs and for sales of its products. The Company’s development programs as well as revenue from future sales of its product sales could be adversely affected by a significant interruption in the supply of any of the components of these products.</w:t>
      </w:r>
    </w:p>
    <w:p>
      <w:pPr>
        <w:spacing w:after="0" w:line="187" w:lineRule="exact"/>
        <w:rPr>
          <w:sz w:val="20"/>
          <w:szCs w:val="20"/>
          <w:color w:val="auto"/>
        </w:rPr>
      </w:pPr>
    </w:p>
    <w:p>
      <w:pPr>
        <w:ind w:left="60" w:right="319" w:firstLine="441"/>
        <w:spacing w:after="0" w:line="342" w:lineRule="auto"/>
        <w:rPr>
          <w:sz w:val="20"/>
          <w:szCs w:val="20"/>
          <w:color w:val="auto"/>
        </w:rPr>
      </w:pPr>
      <w:r>
        <w:rPr>
          <w:rFonts w:ascii="Arial" w:cs="Arial" w:eastAsia="Arial" w:hAnsi="Arial"/>
          <w:sz w:val="16"/>
          <w:szCs w:val="16"/>
          <w:color w:val="auto"/>
        </w:rPr>
        <w:t>For the year ended December 31, 2020, three specialty distributor customers accounted for 42%, 29% and 12% of the Company’s total revenue and three specialty distributor customers accounted for 45%, 33% and 15% of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0" w:name="page171"/>
    <w:bookmarkEnd w:id="1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Company’s total accounts receivable. No other customer accounted for more than 10% of total revenue or accounts receivable for the year ended December 31, 2020.</w:t>
      </w:r>
    </w:p>
    <w:p>
      <w:pPr>
        <w:spacing w:after="0" w:line="170" w:lineRule="exact"/>
        <w:rPr>
          <w:sz w:val="20"/>
          <w:szCs w:val="20"/>
          <w:color w:val="auto"/>
        </w:rPr>
      </w:pPr>
    </w:p>
    <w:p>
      <w:pPr>
        <w:ind w:left="60" w:right="239" w:firstLine="441"/>
        <w:spacing w:after="0" w:line="259" w:lineRule="auto"/>
        <w:rPr>
          <w:sz w:val="20"/>
          <w:szCs w:val="20"/>
          <w:color w:val="auto"/>
        </w:rPr>
      </w:pPr>
      <w:r>
        <w:rPr>
          <w:rFonts w:ascii="Arial" w:cs="Arial" w:eastAsia="Arial" w:hAnsi="Arial"/>
          <w:sz w:val="18"/>
          <w:szCs w:val="18"/>
          <w:color w:val="auto"/>
        </w:rPr>
        <w:t>For the year ended December 31, 2019, two specialty distributor customers accounted for 27% and 11% of the Company’s total revenue and three specialty distributor customers accounted for 39%, 18% and 11% of the Company’s total accounts receivable. No other customer accounted for more than 10% of total revenue or accounts receivable for the year ended December 31, 2019.</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60" w:right="119" w:firstLine="441"/>
        <w:spacing w:after="0" w:line="293" w:lineRule="auto"/>
        <w:rPr>
          <w:sz w:val="20"/>
          <w:szCs w:val="20"/>
          <w:color w:val="auto"/>
        </w:rPr>
      </w:pPr>
      <w:r>
        <w:rPr>
          <w:rFonts w:ascii="Arial" w:cs="Arial" w:eastAsia="Arial" w:hAnsi="Arial"/>
          <w:sz w:val="16"/>
          <w:szCs w:val="16"/>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4" w:lineRule="exact"/>
        <w:rPr>
          <w:sz w:val="20"/>
          <w:szCs w:val="20"/>
          <w:color w:val="auto"/>
        </w:rPr>
      </w:pPr>
    </w:p>
    <w:p>
      <w:pPr>
        <w:ind w:left="840" w:hanging="331"/>
        <w:spacing w:after="0"/>
        <w:tabs>
          <w:tab w:leader="none" w:pos="8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25" w:lineRule="exact"/>
        <w:rPr>
          <w:rFonts w:ascii="Arial" w:cs="Arial" w:eastAsia="Arial" w:hAnsi="Arial"/>
          <w:sz w:val="18"/>
          <w:szCs w:val="18"/>
          <w:color w:val="auto"/>
        </w:rPr>
      </w:pPr>
    </w:p>
    <w:p>
      <w:pPr>
        <w:ind w:left="840" w:right="559" w:hanging="331"/>
        <w:spacing w:after="0" w:line="311" w:lineRule="auto"/>
        <w:tabs>
          <w:tab w:leader="none" w:pos="8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8" w:lineRule="exact"/>
        <w:rPr>
          <w:rFonts w:ascii="Arial" w:cs="Arial" w:eastAsia="Arial" w:hAnsi="Arial"/>
          <w:sz w:val="16"/>
          <w:szCs w:val="16"/>
          <w:color w:val="auto"/>
        </w:rPr>
      </w:pPr>
    </w:p>
    <w:p>
      <w:pPr>
        <w:ind w:left="840" w:right="619" w:hanging="331"/>
        <w:spacing w:after="0" w:line="263" w:lineRule="auto"/>
        <w:tabs>
          <w:tab w:leader="none" w:pos="8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84" w:lineRule="exact"/>
        <w:rPr>
          <w:sz w:val="20"/>
          <w:szCs w:val="20"/>
          <w:color w:val="auto"/>
        </w:rPr>
      </w:pPr>
    </w:p>
    <w:p>
      <w:pPr>
        <w:ind w:left="60" w:right="119" w:firstLine="441"/>
        <w:spacing w:after="0" w:line="296" w:lineRule="auto"/>
        <w:rPr>
          <w:sz w:val="20"/>
          <w:szCs w:val="20"/>
          <w:color w:val="auto"/>
        </w:rPr>
      </w:pPr>
      <w:r>
        <w:rPr>
          <w:rFonts w:ascii="Arial" w:cs="Arial" w:eastAsia="Arial" w:hAnsi="Arial"/>
          <w:sz w:val="16"/>
          <w:szCs w:val="16"/>
          <w:color w:val="auto"/>
        </w:rPr>
        <w:t>The Company’s cash equivalents at December 31, 2020 and 2019 were carried at fair value determined according to the fair value hierarchy described above (Note 3). The Company’s derivative liability at December 31, 2020 and 2019 was carried at fair value determined according to the fair value hierarchy described above and classified as a Level 3 measurement. The carrying value of accounts receivable, prepaid expenses and other current assets, accounts payable and accrued expenses approximate their fair value due to the short-term nature of these assets and liabilities.</w:t>
      </w:r>
    </w:p>
    <w:p>
      <w:pPr>
        <w:spacing w:after="0" w:line="161" w:lineRule="exact"/>
        <w:rPr>
          <w:sz w:val="20"/>
          <w:szCs w:val="20"/>
          <w:color w:val="auto"/>
        </w:rPr>
      </w:pPr>
    </w:p>
    <w:p>
      <w:pPr>
        <w:ind w:left="60" w:right="319" w:firstLine="441"/>
        <w:spacing w:after="0" w:line="277" w:lineRule="auto"/>
        <w:rPr>
          <w:sz w:val="20"/>
          <w:szCs w:val="20"/>
          <w:color w:val="auto"/>
        </w:rPr>
      </w:pPr>
      <w:r>
        <w:rPr>
          <w:rFonts w:ascii="Arial" w:cs="Arial" w:eastAsia="Arial" w:hAnsi="Arial"/>
          <w:sz w:val="18"/>
          <w:szCs w:val="18"/>
          <w:color w:val="auto"/>
        </w:rPr>
        <w:t>The carrying value of the Company’s variable interest rate notes payable (Note 9) are recorded at amortized costs, which approximates fair value due to their short-term nature.</w:t>
      </w:r>
    </w:p>
    <w:p>
      <w:pPr>
        <w:spacing w:after="0" w:line="170" w:lineRule="exact"/>
        <w:rPr>
          <w:sz w:val="20"/>
          <w:szCs w:val="20"/>
          <w:color w:val="auto"/>
        </w:rPr>
      </w:pPr>
    </w:p>
    <w:p>
      <w:pPr>
        <w:ind w:left="60" w:right="79" w:firstLine="441"/>
        <w:spacing w:after="0" w:line="270" w:lineRule="auto"/>
        <w:rPr>
          <w:sz w:val="20"/>
          <w:szCs w:val="20"/>
          <w:color w:val="auto"/>
        </w:rPr>
      </w:pPr>
      <w:r>
        <w:rPr>
          <w:rFonts w:ascii="Arial" w:cs="Arial" w:eastAsia="Arial" w:hAnsi="Arial"/>
          <w:sz w:val="17"/>
          <w:szCs w:val="17"/>
          <w:color w:val="auto"/>
        </w:rPr>
        <w:t>On March 1, 2019, the Company issued $37,500 aggregate principal amount of unsecured senior subordinated convertible notes (the “2026 Convertible Notes”) (Note 5) which is carried, net of derivative liability, at its amortized cost of $24,307 at December 31, 2020. The estimated fair value of the 2026 Convertible Notes was $129,362 and $36,849 at December 31, 2020 and 2019. The fair value of the 2026 Convertible Notes was estimated utilizing a binomial lattice model which requires the use of Level 3 unobservable inputs. The main input when determining the fair value for disclosure purposes is the bond yield which is updated each period to reflect the yield of a comparable instrument issued as of the valuation date. The estimated fair value presented is not necessarily indicative of an amount that could be realized in a current market exchange. The use of alternative inputs and estimation methodologies could have a material effect on these estimates of fair value.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25" w:lineRule="exact"/>
        <w:rPr>
          <w:sz w:val="20"/>
          <w:szCs w:val="20"/>
          <w:color w:val="auto"/>
        </w:rPr>
      </w:pPr>
    </w:p>
    <w:p>
      <w:pPr>
        <w:ind w:left="60" w:right="119" w:firstLine="441"/>
        <w:spacing w:after="0" w:line="290" w:lineRule="auto"/>
        <w:rPr>
          <w:sz w:val="20"/>
          <w:szCs w:val="20"/>
          <w:color w:val="auto"/>
        </w:rPr>
      </w:pPr>
      <w:r>
        <w:rPr>
          <w:rFonts w:ascii="Arial" w:cs="Arial" w:eastAsia="Arial" w:hAnsi="Arial"/>
          <w:sz w:val="16"/>
          <w:szCs w:val="16"/>
          <w:color w:val="auto"/>
        </w:rPr>
        <w:t>The 2026 Convertible Notes allow the holders to convert all or part of the outstanding principal of their 2026 Convertible Notes into shares of the Company’s common stock provided that no conversion results in a holder beneficially owning more than 19.99% of the issued and outstanding common stock of the Company. The entire embedded conversion option is required to be separated from the 2026 Convertible Notes and accounted for as a freestanding derivative instrument subject to derivative accounting. Therefore, the entire conversion option is bifurcated from the underlying debt instrument and accounted for and valued separately from the host instrument. The Company measures the value of the embedded conversion option at its estimated fair value and recognizes changes in the estimated fair value in other income (expense), net in the consolidated statements of operations and comprehensive loss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1" w:name="page172"/>
    <w:bookmarkEnd w:id="1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79"/>
        <w:spacing w:after="0" w:line="277" w:lineRule="auto"/>
        <w:rPr>
          <w:sz w:val="20"/>
          <w:szCs w:val="20"/>
          <w:color w:val="auto"/>
        </w:rPr>
      </w:pPr>
      <w:r>
        <w:rPr>
          <w:rFonts w:ascii="Arial" w:cs="Arial" w:eastAsia="Arial" w:hAnsi="Arial"/>
          <w:sz w:val="18"/>
          <w:szCs w:val="18"/>
          <w:color w:val="auto"/>
        </w:rPr>
        <w:t>during the period of change. The embedded conversion is recognized as a derivative liability in the Company’s consolidated balance sheet.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60" w:right="139" w:firstLine="441"/>
        <w:spacing w:after="0" w:line="296" w:lineRule="auto"/>
        <w:rPr>
          <w:sz w:val="20"/>
          <w:szCs w:val="20"/>
          <w:color w:val="auto"/>
        </w:rPr>
      </w:pPr>
      <w:r>
        <w:rPr>
          <w:rFonts w:ascii="Arial" w:cs="Arial" w:eastAsia="Arial" w:hAnsi="Arial"/>
          <w:sz w:val="16"/>
          <w:szCs w:val="16"/>
          <w:color w:val="auto"/>
        </w:rPr>
        <w:t>Property and equipment are stated at cost less accumulated depreciation. Depreciation expense is recognized using the straight-line method over a three- to five-year estimated useful life.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60" w:right="99" w:firstLine="441"/>
        <w:spacing w:after="0" w:line="288" w:lineRule="auto"/>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The Company has had no impairment triggers of long-lived assets.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60" w:right="119" w:firstLine="441"/>
        <w:spacing w:after="0" w:line="257" w:lineRule="auto"/>
        <w:rPr>
          <w:sz w:val="20"/>
          <w:szCs w:val="20"/>
          <w:color w:val="auto"/>
        </w:rPr>
      </w:pPr>
      <w:r>
        <w:rPr>
          <w:rFonts w:ascii="Arial" w:cs="Arial" w:eastAsia="Arial" w:hAnsi="Arial"/>
          <w:sz w:val="18"/>
          <w:szCs w:val="18"/>
          <w:color w:val="auto"/>
        </w:rPr>
        <w:t>Research and development costs are expensed as incurred. Included in research and development expenses are salaries, stock-based compensation and benefits of employees and other operational costs related to the Company’s research and development activities, including external costs of outside vendors engaged to conduct preclinical studies and clinical trials, manufacturing costs of the Company’s products prior to regulatory approval, costs related to collaboration agreements and facility-related expenses.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225" w:lineRule="exact"/>
        <w:rPr>
          <w:sz w:val="20"/>
          <w:szCs w:val="20"/>
          <w:color w:val="auto"/>
        </w:rPr>
      </w:pPr>
    </w:p>
    <w:p>
      <w:pPr>
        <w:ind w:left="60" w:right="139" w:firstLine="441"/>
        <w:spacing w:after="0" w:line="291" w:lineRule="auto"/>
        <w:rPr>
          <w:sz w:val="20"/>
          <w:szCs w:val="20"/>
          <w:color w:val="auto"/>
        </w:rPr>
      </w:pPr>
      <w:r>
        <w:rPr>
          <w:rFonts w:ascii="Arial" w:cs="Arial" w:eastAsia="Arial" w:hAnsi="Arial"/>
          <w:sz w:val="16"/>
          <w:szCs w:val="16"/>
          <w:color w:val="auto"/>
        </w:rPr>
        <w:t>The Company has entered into various research and development contracts with research institutions and other companies both inside and outside of the United States. Certain of these agreements have cancellation clauses,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60" w:right="99" w:firstLine="441"/>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ind w:left="60" w:right="99" w:firstLine="441"/>
        <w:spacing w:after="0" w:line="301" w:lineRule="auto"/>
        <w:rPr>
          <w:sz w:val="20"/>
          <w:szCs w:val="20"/>
          <w:color w:val="auto"/>
        </w:rPr>
      </w:pPr>
      <w:r>
        <w:rPr>
          <w:rFonts w:ascii="Arial" w:cs="Arial" w:eastAsia="Arial" w:hAnsi="Arial"/>
          <w:sz w:val="16"/>
          <w:szCs w:val="16"/>
          <w:color w:val="auto"/>
        </w:rPr>
        <w:t>The Company measures all stock options and other stock-based awards granted to employees and directors at the fair value on the date of the grant using the Black-Scholes option-pricing model. The fair value of the awards is recognized as expense, net of estimated forfeitures, over the requisite service period, which is generally the vesting period of the respective award. The straight-line method of expense recognition is applied to all awards with service-only conditions.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2" w:name="page173"/>
    <w:bookmarkEnd w:id="1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441"/>
        <w:spacing w:after="0" w:line="296" w:lineRule="auto"/>
        <w:rPr>
          <w:sz w:val="20"/>
          <w:szCs w:val="20"/>
          <w:color w:val="auto"/>
        </w:rPr>
      </w:pPr>
      <w:r>
        <w:rPr>
          <w:rFonts w:ascii="Arial" w:cs="Arial" w:eastAsia="Arial" w:hAnsi="Arial"/>
          <w:sz w:val="16"/>
          <w:szCs w:val="16"/>
          <w:color w:val="auto"/>
        </w:rPr>
        <w:t>Following the Company’s adoption of Accounting Standards Update (“ASU”) 2018-07, Compensation—Stock Compensation (Topic 718), Improvements to Nonemployee Share-Based Payment Accounting (“ASU 2018-07”), on January 1, 2019, for stock-based awards issued to non-employees, the Company no longer revalues non-employee awards at each reporting date and instead calculates the fair value of the awards as of the grant date using the Black-Scholes option-pricing model. Compensation expense for these awards is recognized over the related service period.</w:t>
      </w:r>
    </w:p>
    <w:p>
      <w:pPr>
        <w:spacing w:after="0" w:line="161" w:lineRule="exact"/>
        <w:rPr>
          <w:sz w:val="20"/>
          <w:szCs w:val="20"/>
          <w:color w:val="auto"/>
        </w:rPr>
      </w:pPr>
    </w:p>
    <w:p>
      <w:pPr>
        <w:ind w:left="60" w:right="339" w:firstLine="441"/>
        <w:spacing w:after="0" w:line="263" w:lineRule="auto"/>
        <w:rPr>
          <w:sz w:val="20"/>
          <w:szCs w:val="20"/>
          <w:color w:val="auto"/>
        </w:rPr>
      </w:pPr>
      <w:r>
        <w:rPr>
          <w:rFonts w:ascii="Arial" w:cs="Arial" w:eastAsia="Arial" w:hAnsi="Arial"/>
          <w:sz w:val="18"/>
          <w:szCs w:val="18"/>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84" w:lineRule="exact"/>
        <w:rPr>
          <w:sz w:val="20"/>
          <w:szCs w:val="20"/>
          <w:color w:val="auto"/>
        </w:rPr>
      </w:pPr>
    </w:p>
    <w:p>
      <w:pPr>
        <w:ind w:left="60" w:right="279" w:firstLine="441"/>
        <w:spacing w:after="0" w:line="275" w:lineRule="auto"/>
        <w:rPr>
          <w:sz w:val="20"/>
          <w:szCs w:val="20"/>
          <w:color w:val="auto"/>
        </w:rPr>
      </w:pPr>
      <w:r>
        <w:rPr>
          <w:rFonts w:ascii="Arial" w:cs="Arial" w:eastAsia="Arial" w:hAnsi="Arial"/>
          <w:sz w:val="17"/>
          <w:szCs w:val="17"/>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79" w:firstLine="441"/>
        <w:spacing w:after="0" w:line="253"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w:t>
      </w:r>
    </w:p>
    <w:p>
      <w:pPr>
        <w:spacing w:after="0" w:line="196" w:lineRule="exact"/>
        <w:rPr>
          <w:sz w:val="20"/>
          <w:szCs w:val="20"/>
          <w:color w:val="auto"/>
        </w:rPr>
      </w:pPr>
    </w:p>
    <w:p>
      <w:pPr>
        <w:ind w:left="60" w:right="79" w:firstLine="441"/>
        <w:spacing w:after="0" w:line="271" w:lineRule="auto"/>
        <w:rPr>
          <w:sz w:val="20"/>
          <w:szCs w:val="20"/>
          <w:color w:val="auto"/>
        </w:rPr>
      </w:pPr>
      <w:r>
        <w:rPr>
          <w:rFonts w:ascii="Arial" w:cs="Arial" w:eastAsia="Arial" w:hAnsi="Arial"/>
          <w:sz w:val="17"/>
          <w:szCs w:val="17"/>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Segment Data</w:t>
      </w:r>
    </w:p>
    <w:p>
      <w:pPr>
        <w:spacing w:after="0" w:line="225" w:lineRule="exact"/>
        <w:rPr>
          <w:sz w:val="20"/>
          <w:szCs w:val="20"/>
          <w:color w:val="auto"/>
        </w:rPr>
      </w:pPr>
    </w:p>
    <w:p>
      <w:pPr>
        <w:ind w:left="60" w:right="139" w:firstLine="441"/>
        <w:spacing w:after="0" w:line="301" w:lineRule="auto"/>
        <w:rPr>
          <w:sz w:val="20"/>
          <w:szCs w:val="20"/>
          <w:color w:val="auto"/>
        </w:rPr>
      </w:pPr>
      <w:r>
        <w:rPr>
          <w:rFonts w:ascii="Arial" w:cs="Arial" w:eastAsia="Arial" w:hAnsi="Arial"/>
          <w:sz w:val="16"/>
          <w:szCs w:val="16"/>
          <w:color w:val="auto"/>
        </w:rPr>
        <w:t>The Company manages its operations as a single segment for the purposes of assessing performance and making operating decisions. The Company’s singular focus is on advancing its bioresorbable hydrogel product candidates for the programed-release delivery of therapeutic agents, specifically for ophthalmology. All tangible assets are held in the United States. Revenue to date has been generated through product sales, all of which has been earned in the United States.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60" w:right="179" w:firstLine="441"/>
        <w:spacing w:after="0" w:line="259"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For the years ended December 31, 2020 and 2019, there were no items that gave rise to other comprehensive loss and therefore, there was no difference between net loss and comprehensive loss.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left="60" w:right="199" w:firstLine="441"/>
        <w:spacing w:after="0" w:line="311"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 average number of shares of common stock outstanding for the period. Diluted net loss attributable to common stockholders is computed by adjusting net loss attributable to common stockholders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3" w:name="page174"/>
    <w:bookmarkEnd w:id="1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reallocate undistributed earnings based on the potential impact of dilutive securities, including the assumed conversion of the Company’s 2026 Convertible Notes, outstanding stock options and common stock warrants, except where the result would be anti-dilutive. Diluted net loss per share attributable to common stockholders is computed by dividing the diluted net loss attributable to common stockholders by the weighted average number of common shares outstanding for the period, including potential dilutive common shares assuming the dilutive effect of the conversion of the 2026 Convertible Notes, the exercise of outstanding stock options and common stock warrants. In the diluted net loss per share calculation, net loss would also be adjusted for the elimination of interest expense on the 2026 Convertible Notes (which includes amortization of the discount created upon bifurcation of the conversion option from the debt) and, the mark-to-market gain or loss each period to the bifurcated conversion option, if the impact was not anti-dilutive.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right="79" w:firstLine="441"/>
        <w:spacing w:after="0" w:line="272"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Changes to the Disclosure Requirements for Fair Value Measurement (“ASU 2018-13”), which modifies the existing disclosure requirements for fair value measurements. The new disclosure requirements include disclosure related to changes in unrealized gains or losses included in other comprehensive income (loss) for recurring Level 3 fair value measurements held at the end of each reporting period and the explicit requirement to disclose the range and weighted average of significant unobservable inputs used for Level 3 fair value measurements. The other provisions of ASU 2018-13 include eliminated and modified disclosure requirements.</w:t>
      </w:r>
    </w:p>
    <w:p>
      <w:pPr>
        <w:spacing w:after="0" w:line="177"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In November 2018, the FASB issued ASU No. 2018-18, Collaborative Arrangements (Topic 808): Clarifying the Interaction between Topic 808 and Topic 606 (“ASU 2018-18”). ASU 2018-18 makes targeted improvements to GAAP for collaborative arrangements, including (i) clarification that certain transactions between collaborative arrangement participants should be accounted for as revenue under ASC 606 when the collaborative arrangement participant is a customer in the context of a unit of account, (ii) adding unit-of-account guidance in ASC 808, Collaborative Arrangements, to align with the guidance in ASC 606 and (iii) a requirement that in a transaction with a collaborative arrangement participant that is not directly related to sales to third parties, presenting the transaction together with revenue recognized under ASC 606 is precluded if the collaborative arrangement participant is not a customer. The Company adopted this pronouncement as required effective January 1, 2020 and its adoption did not have a material impact on the Company’s consolidated financial statements.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right="139" w:firstLine="441"/>
        <w:spacing w:after="0" w:line="296"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(“ASU 2019-12”). ASU 2019-12 removes certain exceptions for investments, intra-period allocations and interim calculations, and adds guidance to reduce complexity in accounting for income taxes. The guidance is effective for fiscal years beginning after December 15, 2020, including interim periods within those fiscal years. The Company is currently evaluating the impact that the adoption of ASU 2019-12 will have on its consolidated financial statements.</w:t>
      </w:r>
    </w:p>
    <w:p>
      <w:pPr>
        <w:spacing w:after="0" w:line="161" w:lineRule="exact"/>
        <w:rPr>
          <w:sz w:val="20"/>
          <w:szCs w:val="20"/>
          <w:color w:val="auto"/>
        </w:rPr>
      </w:pPr>
    </w:p>
    <w:p>
      <w:pPr>
        <w:ind w:left="60" w:right="79" w:firstLine="441"/>
        <w:spacing w:after="0" w:line="267"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which requires the measurement and recognition of expected 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may result in earlier recognition of credit losses. In November 2018, the FASB issued ASU No. 2018-19, Codification Improvements to Topic 326, Financial Instruments—Credit Losses, which narrowed the scope and changed the effective date for non-public entities for ASU 2016-13. The FASB subsequently issued supplemental guidance within ASU No. 2019-05, Financial Instruments—Credit Losses (Topic 326): Targeted Transition Relief (‘‘ASU 2019-05’’). ASU 2019-05 provides an option to irrevocably elect the fair value option for certain financial assets previously measured at amortized cost basis. For public entities that are Securities and Exchange Commission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Early adoption is permitted. This standard will be effective for the Company on January 1, 2023. The Company is currently evaluating the potential impact that this standard may have on its consolidated financial statements and related disclosures.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4" w:name="page175"/>
    <w:bookmarkEnd w:id="1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441"/>
        <w:spacing w:after="0" w:line="288" w:lineRule="auto"/>
        <w:rPr>
          <w:sz w:val="20"/>
          <w:szCs w:val="20"/>
          <w:color w:val="auto"/>
        </w:rPr>
      </w:pPr>
      <w:r>
        <w:rPr>
          <w:rFonts w:ascii="Arial" w:cs="Arial" w:eastAsia="Arial" w:hAnsi="Arial"/>
          <w:sz w:val="16"/>
          <w:szCs w:val="16"/>
          <w:color w:val="auto"/>
        </w:rPr>
        <w:t>In August 2020, the FASB issued ASU No. 2020-06, Debt – Debt with Conversion and Other Options (Subtopic 470-20) and Derivatives and Hedging—Contracts in Entity’s Own Equity (Subtopic 815-40) (“ASU 2020-06”). This standard amends the guidance on convertible instruments and the derivatives scope exception for contracts in an entity’s own equity and improves and amends the related earnings per share guidance for both Subtopics. The amendments in the ASU are effective for public business entities that meet the definition of an SEC filer, excluding entities eligible to be smaller reporting companies as defined by the SEC, for fiscal years beginning after December 15, 2021, including interim periods within those fiscal years. Early adoption is permitted, but no earlier than fiscal years beginning after December 15, 2020, including interim periods within those fiscal years. The FASB also specified that an entity should adopt the guidance as of the beginning of its fiscal year and is not permitted to adopt the guidance in an interim period. The Company is assessing the potential impact of ASU 2020-06 on its consolidated financial statements.</w:t>
      </w: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229" w:lineRule="exact"/>
        <w:rPr>
          <w:sz w:val="20"/>
          <w:szCs w:val="20"/>
          <w:color w:val="auto"/>
        </w:rPr>
      </w:pPr>
    </w:p>
    <w:p>
      <w:pPr>
        <w:ind w:left="60" w:right="59" w:firstLine="441"/>
        <w:spacing w:after="0" w:line="263" w:lineRule="auto"/>
        <w:rPr>
          <w:sz w:val="20"/>
          <w:szCs w:val="20"/>
          <w:color w:val="auto"/>
        </w:rPr>
      </w:pPr>
      <w:r>
        <w:rPr>
          <w:rFonts w:ascii="Arial" w:cs="Arial" w:eastAsia="Arial" w:hAnsi="Arial"/>
          <w:sz w:val="18"/>
          <w:szCs w:val="18"/>
          <w:color w:val="auto"/>
        </w:rPr>
        <w:t>The following tables present information about the Company’s financial assets and liabilities that are measured at fair value on a recurring basis as of December 31, 2020 and 2019 and indicate the level of the fair value hierarchy utilized to determine such fair value: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16"/>
          </w:tcPr>
          <w:p>
            <w:pPr>
              <w:jc w:val="center"/>
              <w:ind w:right="222"/>
              <w:spacing w:after="0"/>
              <w:rPr>
                <w:sz w:val="20"/>
                <w:szCs w:val="20"/>
                <w:color w:val="auto"/>
              </w:rPr>
            </w:pPr>
            <w:r>
              <w:rPr>
                <w:rFonts w:ascii="Arial" w:cs="Arial" w:eastAsia="Arial" w:hAnsi="Arial"/>
                <w:sz w:val="14"/>
                <w:szCs w:val="14"/>
                <w:b w:val="1"/>
                <w:bCs w:val="1"/>
                <w:color w:val="auto"/>
                <w:w w:val="92"/>
              </w:rPr>
              <w:t>Fair Value Measurements 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2"/>
              </w:rPr>
              <w:t>December 31, 2020 Using:</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88"/>
              <w:spacing w:after="0" w:line="142" w:lineRule="exact"/>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6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00"/>
              <w:spacing w:after="0"/>
              <w:rPr>
                <w:sz w:val="20"/>
                <w:szCs w:val="20"/>
                <w:color w:val="auto"/>
              </w:rPr>
            </w:pPr>
            <w:r>
              <w:rPr>
                <w:rFonts w:ascii="Arial" w:cs="Arial" w:eastAsia="Arial" w:hAnsi="Arial"/>
                <w:sz w:val="18"/>
                <w:szCs w:val="18"/>
                <w:color w:val="auto"/>
              </w:rPr>
              <w:t>Cash equivalents: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Money market funds</w:t>
            </w:r>
          </w:p>
        </w:tc>
        <w:tc>
          <w:tcPr>
            <w:tcW w:w="24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$ 213,372</w:t>
            </w:r>
          </w:p>
        </w:tc>
        <w:tc>
          <w:tcPr>
            <w:tcW w:w="3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$ 213,372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00"/>
              <w:spacing w:after="0"/>
              <w:rPr>
                <w:sz w:val="20"/>
                <w:szCs w:val="20"/>
                <w:color w:val="auto"/>
              </w:rPr>
            </w:pPr>
            <w:r>
              <w:rPr>
                <w:rFonts w:ascii="Arial" w:cs="Arial" w:eastAsia="Arial" w:hAnsi="Arial"/>
                <w:sz w:val="18"/>
                <w:szCs w:val="18"/>
                <w:color w:val="auto"/>
              </w:rPr>
              <w:t>Derivative liability (Note 4)</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98,313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98,313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$ 213,372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$ 98,313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$ 311,685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gridSpan w:val="15"/>
          </w:tcPr>
          <w:p>
            <w:pPr>
              <w:jc w:val="center"/>
              <w:ind w:right="502"/>
              <w:spacing w:after="0"/>
              <w:rPr>
                <w:sz w:val="20"/>
                <w:szCs w:val="20"/>
                <w:color w:val="auto"/>
              </w:rPr>
            </w:pPr>
            <w:r>
              <w:rPr>
                <w:rFonts w:ascii="Arial" w:cs="Arial" w:eastAsia="Arial" w:hAnsi="Arial"/>
                <w:sz w:val="14"/>
                <w:szCs w:val="14"/>
                <w:b w:val="1"/>
                <w:bCs w:val="1"/>
                <w:color w:val="auto"/>
                <w:w w:val="92"/>
              </w:rPr>
              <w:t>Fair Value Measurements 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13"/>
          </w:tcPr>
          <w:p>
            <w:pPr>
              <w:jc w:val="center"/>
              <w:ind w:right="642"/>
              <w:spacing w:after="0"/>
              <w:rPr>
                <w:sz w:val="20"/>
                <w:szCs w:val="20"/>
                <w:color w:val="auto"/>
              </w:rPr>
            </w:pPr>
            <w:r>
              <w:rPr>
                <w:rFonts w:ascii="Arial" w:cs="Arial" w:eastAsia="Arial" w:hAnsi="Arial"/>
                <w:sz w:val="14"/>
                <w:szCs w:val="14"/>
                <w:b w:val="1"/>
                <w:bCs w:val="1"/>
                <w:color w:val="auto"/>
                <w:w w:val="92"/>
              </w:rPr>
              <w:t>December 31, 2019 Using: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08"/>
              <w:spacing w:after="0" w:line="142" w:lineRule="exact"/>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2"/>
                <w:szCs w:val="12"/>
                <w:color w:val="auto"/>
              </w:rPr>
            </w:pP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00"/>
              <w:spacing w:after="0"/>
              <w:rPr>
                <w:sz w:val="20"/>
                <w:szCs w:val="20"/>
                <w:color w:val="auto"/>
              </w:rPr>
            </w:pPr>
            <w:r>
              <w:rPr>
                <w:rFonts w:ascii="Arial" w:cs="Arial" w:eastAsia="Arial" w:hAnsi="Arial"/>
                <w:sz w:val="18"/>
                <w:szCs w:val="18"/>
                <w:color w:val="auto"/>
              </w:rPr>
              <w:t>Cash equivalents: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Money market funds</w:t>
            </w:r>
          </w:p>
        </w:tc>
        <w:tc>
          <w:tcPr>
            <w:tcW w:w="19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1"/>
              </w:rPr>
              <w:t>$ 45,156</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$ 45,156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00"/>
              <w:spacing w:after="0"/>
              <w:rPr>
                <w:sz w:val="20"/>
                <w:szCs w:val="20"/>
                <w:color w:val="auto"/>
              </w:rPr>
            </w:pPr>
            <w:r>
              <w:rPr>
                <w:rFonts w:ascii="Arial" w:cs="Arial" w:eastAsia="Arial" w:hAnsi="Arial"/>
                <w:sz w:val="18"/>
                <w:szCs w:val="18"/>
                <w:color w:val="auto"/>
              </w:rPr>
              <w:t>Derivative liability (Note 4)</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12,124</w:t>
            </w:r>
          </w:p>
        </w:tc>
        <w:tc>
          <w:tcPr>
            <w:tcW w:w="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$ 45,156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12,124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$ 57,280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the year ended December 31, 2020 and 2019, there were no transfers between Level 1 and 2.</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Derivative Liability</w:t>
      </w:r>
    </w:p>
    <w:p>
      <w:pPr>
        <w:spacing w:after="0" w:line="229" w:lineRule="exact"/>
        <w:rPr>
          <w:sz w:val="20"/>
          <w:szCs w:val="20"/>
          <w:color w:val="auto"/>
        </w:rPr>
      </w:pPr>
    </w:p>
    <w:p>
      <w:pPr>
        <w:ind w:left="60" w:right="99" w:firstLine="441"/>
        <w:spacing w:after="0" w:line="254" w:lineRule="auto"/>
        <w:rPr>
          <w:sz w:val="20"/>
          <w:szCs w:val="20"/>
          <w:color w:val="auto"/>
        </w:rPr>
      </w:pPr>
      <w:r>
        <w:rPr>
          <w:rFonts w:ascii="Arial" w:cs="Arial" w:eastAsia="Arial" w:hAnsi="Arial"/>
          <w:sz w:val="18"/>
          <w:szCs w:val="18"/>
          <w:color w:val="auto"/>
        </w:rPr>
        <w:t>The 2026 Convertible Notes (Note 5) contained an embedded conversion option that met the criteria to be bifurcated and accounted for separately from the 2026 Convertible Notes (the "Derivative Liability"). The Derivative Liability was recorded at fair value upon the issuance of the 2026 Convertible Notes and is subsequently remeasured to fair value at each reporting period. The Derivative Liability was initially valued and remeasured using a "with-and-without" method. The "with-and-without" methodology involves valuing the whole instrument on an as-is basis and then valuing the instrument without the embedded conversion option. The difference between the entire instrument with the embedded conversion option compared to the instrument without the embedded conversion option is the fair value of the derivative, recorded as the Derivative Liability.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5" w:name="page176"/>
    <w:bookmarkEnd w:id="1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450"/>
        <w:spacing w:after="0" w:line="342" w:lineRule="auto"/>
        <w:rPr>
          <w:sz w:val="20"/>
          <w:szCs w:val="20"/>
          <w:color w:val="auto"/>
        </w:rPr>
      </w:pPr>
      <w:r>
        <w:rPr>
          <w:rFonts w:ascii="Arial" w:cs="Arial" w:eastAsia="Arial" w:hAnsi="Arial"/>
          <w:sz w:val="16"/>
          <w:szCs w:val="16"/>
          <w:color w:val="auto"/>
        </w:rPr>
        <w:t>The fair value of the 2026 Convertible Notes with and without the conversion option is estimated using a binomial lattice approach. The main inputs to valuing the 2026 Convertible Notes with the conversion option are as follows:</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r>
      <w:tr>
        <w:trPr>
          <w:trHeight w:val="238"/>
        </w:trPr>
        <w:tc>
          <w:tcPr>
            <w:tcW w:w="6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r>
      <w:tr>
        <w:trPr>
          <w:trHeight w:val="214"/>
        </w:trPr>
        <w:tc>
          <w:tcPr>
            <w:tcW w:w="6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8"/>
                <w:szCs w:val="18"/>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Company's stock price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spacing w:after="0"/>
              <w:rPr>
                <w:sz w:val="18"/>
                <w:szCs w:val="18"/>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Expected annual volatility</w:t>
            </w:r>
          </w:p>
        </w:tc>
        <w:tc>
          <w:tcPr>
            <w:tcW w:w="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xml:space="preserve">105.5 </w:t>
            </w: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 xml:space="preserve">85.8 </w:t>
            </w:r>
            <w:r>
              <w:rPr>
                <w:rFonts w:ascii="Arial" w:cs="Arial" w:eastAsia="Arial" w:hAnsi="Arial"/>
                <w:sz w:val="19"/>
                <w:szCs w:val="19"/>
                <w:color w:val="auto"/>
              </w:rPr>
              <w:t>%</w:t>
            </w:r>
          </w:p>
        </w:tc>
      </w:tr>
      <w:tr>
        <w:trPr>
          <w:trHeight w:val="23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Bond yield</w:t>
            </w: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12.0 </w:t>
            </w: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 xml:space="preserve">13.0 </w:t>
            </w:r>
            <w:r>
              <w:rPr>
                <w:rFonts w:ascii="Arial" w:cs="Arial" w:eastAsia="Arial" w:hAnsi="Arial"/>
                <w:sz w:val="19"/>
                <w:szCs w:val="19"/>
                <w:color w:val="auto"/>
              </w:rPr>
              <w:t>%</w:t>
            </w:r>
          </w:p>
        </w:tc>
      </w:tr>
    </w:tbl>
    <w:p>
      <w:pPr>
        <w:spacing w:after="0" w:line="202" w:lineRule="exact"/>
        <w:rPr>
          <w:sz w:val="20"/>
          <w:szCs w:val="20"/>
          <w:color w:val="auto"/>
        </w:rPr>
      </w:pPr>
    </w:p>
    <w:p>
      <w:pPr>
        <w:ind w:left="60" w:right="339" w:firstLine="450"/>
        <w:spacing w:after="0" w:line="263" w:lineRule="auto"/>
        <w:rPr>
          <w:sz w:val="20"/>
          <w:szCs w:val="20"/>
          <w:color w:val="auto"/>
        </w:rPr>
      </w:pPr>
      <w:r>
        <w:rPr>
          <w:rFonts w:ascii="Arial" w:cs="Arial" w:eastAsia="Arial" w:hAnsi="Arial"/>
          <w:sz w:val="18"/>
          <w:szCs w:val="18"/>
          <w:color w:val="auto"/>
        </w:rPr>
        <w:t>The bond yield was derived by making the fair value of the 2026 Convertible Notes equal to the face value on the issuance date. Fair value measurements are highly sensitive to changes in these inputs and significant changes in these inputs would result in a significantly higher or lower fair value.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roll forward of the derivative liability is as follows:</w:t>
      </w:r>
    </w:p>
    <w:p>
      <w:pPr>
        <w:spacing w:after="0" w:line="379" w:lineRule="exact"/>
        <w:rPr>
          <w:sz w:val="20"/>
          <w:szCs w:val="20"/>
          <w:color w:val="auto"/>
        </w:rPr>
      </w:pPr>
    </w:p>
    <w:tbl>
      <w:tblPr>
        <w:tblLayout w:type="fixed"/>
        <w:tblInd w:w="1400" w:type="dxa"/>
        <w:tblCellMar>
          <w:top w:w="0" w:type="dxa"/>
          <w:left w:w="0" w:type="dxa"/>
          <w:bottom w:w="0" w:type="dxa"/>
          <w:right w:w="0" w:type="dxa"/>
        </w:tblCellMar>
      </w:tblPr>
      <w:tr>
        <w:trPr>
          <w:trHeight w:val="171"/>
        </w:trPr>
        <w:tc>
          <w:tcPr>
            <w:tcW w:w="5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As of</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Initial value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16,434</w:t>
            </w:r>
          </w:p>
        </w:tc>
      </w:tr>
      <w:tr>
        <w:trPr>
          <w:trHeight w:val="216"/>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Pr>
          <w:p>
            <w:pPr>
              <w:spacing w:after="0"/>
              <w:rPr>
                <w:sz w:val="18"/>
                <w:szCs w:val="18"/>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12,124</w:t>
            </w:r>
          </w:p>
        </w:tc>
      </w:tr>
      <w:tr>
        <w:trPr>
          <w:trHeight w:val="216"/>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86,189</w:t>
            </w: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98,313</w:t>
            </w: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b w:val="1"/>
          <w:bCs w:val="1"/>
          <w:color w:val="auto"/>
        </w:rPr>
        <w:t>5. Convertible Notes</w:t>
      </w:r>
    </w:p>
    <w:p>
      <w:pPr>
        <w:spacing w:after="0" w:line="224" w:lineRule="exact"/>
        <w:rPr>
          <w:sz w:val="20"/>
          <w:szCs w:val="20"/>
          <w:color w:val="auto"/>
        </w:rPr>
      </w:pPr>
    </w:p>
    <w:p>
      <w:pPr>
        <w:ind w:left="60" w:right="99" w:firstLine="441"/>
        <w:spacing w:after="0" w:line="275" w:lineRule="auto"/>
        <w:rPr>
          <w:sz w:val="20"/>
          <w:szCs w:val="20"/>
          <w:color w:val="auto"/>
        </w:rPr>
      </w:pPr>
      <w:r>
        <w:rPr>
          <w:rFonts w:ascii="Arial" w:cs="Arial" w:eastAsia="Arial" w:hAnsi="Arial"/>
          <w:sz w:val="17"/>
          <w:szCs w:val="17"/>
          <w:color w:val="auto"/>
        </w:rPr>
        <w:t>On March 1, 2019, the Company issued $37,500 of 2026 Convertible Notes. Each 2026 Convertible Note accrues interest at an annual rate of 6% of its outstanding principal amount, which is payable, along with the principal amount at maturity, on March 1, 2026, unless earlier converted, repurchased or redeemed. The Company presents deferred interest in accrued current liabilities because the notes are currently convertible and the interest is payable in cash. The effective annual interest rate for the 2026 Convertible Notes was 14.8% through December 31, 2020.</w:t>
      </w:r>
    </w:p>
    <w:p>
      <w:pPr>
        <w:spacing w:after="0" w:line="176" w:lineRule="exact"/>
        <w:rPr>
          <w:sz w:val="20"/>
          <w:szCs w:val="20"/>
          <w:color w:val="auto"/>
        </w:rPr>
      </w:pPr>
    </w:p>
    <w:p>
      <w:pPr>
        <w:ind w:left="60" w:right="179" w:firstLine="441"/>
        <w:spacing w:after="0" w:line="254" w:lineRule="auto"/>
        <w:rPr>
          <w:sz w:val="20"/>
          <w:szCs w:val="20"/>
          <w:color w:val="auto"/>
        </w:rPr>
      </w:pPr>
      <w:r>
        <w:rPr>
          <w:rFonts w:ascii="Arial" w:cs="Arial" w:eastAsia="Arial" w:hAnsi="Arial"/>
          <w:sz w:val="18"/>
          <w:szCs w:val="18"/>
          <w:color w:val="auto"/>
        </w:rPr>
        <w:t>The holders of the 2026 Convertible Notes may convert all or part of the outstanding principal amount of their 2026 Convertible Notes into shares of the Company’s common stock, par value $0.0001 per share, prior to maturity and provided that no conversion results in a holder beneficially owning more than 19.99% of the issued and outstanding common stock of the Company. The conversion rate is initially 153.8462 shares of the Company’s common stock per $1,000 principal amount of the 2026 Convertible Notes, which is equivalent to an initial conversion price of $6.50 per share. The conversion rate is subject to adjustment in customary circumstances such as stock splits or similar changes to the Company’s capitalization.</w:t>
      </w:r>
    </w:p>
    <w:p>
      <w:pPr>
        <w:spacing w:after="0" w:line="195" w:lineRule="exact"/>
        <w:rPr>
          <w:sz w:val="20"/>
          <w:szCs w:val="20"/>
          <w:color w:val="auto"/>
        </w:rPr>
      </w:pPr>
    </w:p>
    <w:p>
      <w:pPr>
        <w:ind w:left="60" w:right="139" w:firstLine="441"/>
        <w:spacing w:after="0" w:line="271" w:lineRule="auto"/>
        <w:rPr>
          <w:sz w:val="20"/>
          <w:szCs w:val="20"/>
          <w:color w:val="auto"/>
        </w:rPr>
      </w:pPr>
      <w:r>
        <w:rPr>
          <w:rFonts w:ascii="Arial" w:cs="Arial" w:eastAsia="Arial" w:hAnsi="Arial"/>
          <w:sz w:val="17"/>
          <w:szCs w:val="17"/>
          <w:color w:val="auto"/>
        </w:rPr>
        <w:t>At its election, the Company may choose to make such conversion payment in cash, in shares of common stock, or a combination thereof. Upon any conversion of any 2026 Convertible Note, the Company is obligated to make a cash payment to the holder of such 2026 Convertible Note for any interest accrued but unpaid on the principal amount converted. Upon the occurrence of a Corporate Transaction (as defined below), each holder has the option to require the Company to repurchase all or part of the outstanding principal amount of such note at a repurchase price equal to 100% of the outstanding principal amount of the 2026 Convertible Note to be repurchased, plus accrued and unpaid interest to, but excluding the repurchase date. In addition, each holder is entitled to receive an additional make-whole cash payment in accordance with a table set forth in each 2026 Convertible Note.</w:t>
      </w:r>
    </w:p>
    <w:p>
      <w:pPr>
        <w:spacing w:after="0" w:line="178" w:lineRule="exact"/>
        <w:rPr>
          <w:sz w:val="20"/>
          <w:szCs w:val="20"/>
          <w:color w:val="auto"/>
        </w:rPr>
      </w:pPr>
    </w:p>
    <w:p>
      <w:pPr>
        <w:ind w:left="60" w:right="199" w:firstLine="441"/>
        <w:spacing w:after="0" w:line="308" w:lineRule="auto"/>
        <w:rPr>
          <w:sz w:val="20"/>
          <w:szCs w:val="20"/>
          <w:color w:val="auto"/>
        </w:rPr>
      </w:pPr>
      <w:r>
        <w:rPr>
          <w:rFonts w:ascii="Arial" w:cs="Arial" w:eastAsia="Arial" w:hAnsi="Arial"/>
          <w:sz w:val="17"/>
          <w:szCs w:val="17"/>
          <w:color w:val="auto"/>
        </w:rPr>
        <w:t>Upon conversion by the holder, the Company has the right to select the settlement of the conversion in either shares of common stock, cash, or in a combination thereof. In addition, the Company is obligated to make a cash</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6" w:name="page177"/>
    <w:bookmarkEnd w:id="1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payment to the holder of such 2026 Convertible Note for any interest accrued but unpaid on the principal amount converted.</w:t>
      </w:r>
    </w:p>
    <w:p>
      <w:pPr>
        <w:spacing w:after="0" w:line="170" w:lineRule="exact"/>
        <w:rPr>
          <w:sz w:val="20"/>
          <w:szCs w:val="20"/>
          <w:color w:val="auto"/>
        </w:rPr>
      </w:pPr>
    </w:p>
    <w:p>
      <w:pPr>
        <w:ind w:left="840" w:right="239" w:hanging="331"/>
        <w:spacing w:after="0" w:line="286" w:lineRule="auto"/>
        <w:tabs>
          <w:tab w:leader="none" w:pos="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Company elects to satisfy such conversion by shares of common stock, the Company shall deliver to the converting holder in respect of each $1,000 principal amount of 2026 Convertible Notes being converted a number of common shares equal to the conversion rate in effect on the conversion date;</w:t>
      </w:r>
    </w:p>
    <w:p>
      <w:pPr>
        <w:spacing w:after="0" w:line="138" w:lineRule="exact"/>
        <w:rPr>
          <w:rFonts w:ascii="Arial" w:cs="Arial" w:eastAsia="Arial" w:hAnsi="Arial"/>
          <w:sz w:val="17"/>
          <w:szCs w:val="17"/>
          <w:color w:val="auto"/>
        </w:rPr>
      </w:pPr>
    </w:p>
    <w:p>
      <w:pPr>
        <w:ind w:left="840" w:right="99" w:hanging="331"/>
        <w:spacing w:after="0" w:line="285" w:lineRule="auto"/>
        <w:tabs>
          <w:tab w:leader="none" w:pos="8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Company elects to satisfy such conversion by cash settlement, the Company shall pay to the converting holder in respect of each $1,000 principal amount of 2026 Convertible Notes being converted cash in an amount equal to the sum of the Daily Conversion Values (as defined below) for each of the twenty (20) consecutive trading days during a specified period. The “Daily Conversion Values” is defined as each of the 20 consecutive trading days during the specified period, 5.0% of the product of (a) the conversion rate on such trading day and</w:t>
      </w:r>
    </w:p>
    <w:p>
      <w:pPr>
        <w:spacing w:after="0" w:line="1" w:lineRule="exact"/>
        <w:rPr>
          <w:rFonts w:ascii="Arial" w:cs="Arial" w:eastAsia="Arial" w:hAnsi="Arial"/>
          <w:sz w:val="16"/>
          <w:szCs w:val="16"/>
          <w:color w:val="auto"/>
        </w:rPr>
      </w:pPr>
    </w:p>
    <w:p>
      <w:pPr>
        <w:ind w:left="840" w:right="139" w:hanging="7"/>
        <w:spacing w:after="0" w:line="255" w:lineRule="auto"/>
        <w:tabs>
          <w:tab w:leader="none" w:pos="10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Daily VWAP on such trading day. The Daily VWAP is defined as each of the 20 consecutive trading days during the applicable Observation Period, the per share volume-weighted average price as displayed under the heading “Bloomberg VWAP” on the Bloomberg page for the Company.</w:t>
      </w:r>
    </w:p>
    <w:p>
      <w:pPr>
        <w:spacing w:after="0" w:line="149" w:lineRule="exact"/>
        <w:rPr>
          <w:rFonts w:ascii="Arial" w:cs="Arial" w:eastAsia="Arial" w:hAnsi="Arial"/>
          <w:sz w:val="18"/>
          <w:szCs w:val="18"/>
          <w:color w:val="auto"/>
        </w:rPr>
      </w:pPr>
    </w:p>
    <w:p>
      <w:pPr>
        <w:ind w:left="840" w:right="159" w:hanging="331"/>
        <w:spacing w:after="0" w:line="284" w:lineRule="auto"/>
        <w:tabs>
          <w:tab w:leader="none" w:pos="8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Company elects to satisfy such conversion by combination, the Company shall pay or deliver, as the case may be, in respect of each $1,000 principal amount of 2026 Convertible Notes being converted, a settlement amount equal to the sum of the Daily Settlement Amounts (as defined below) for each of the twenty (20) consecutive trading days during the specified period. The “Daily Settlement Amount” is defined as, for each of the 20 consecutive trading days during the specified period: (a) cash in an amount equal to the lesser of (i) the Daily Measurement Value (as defined below) and (ii) the Daily Conversion Value on such Trading Day; and (b) if the Daily Conversion Value on such trading day exceeds the Daily Measurement Value, a number of Shares equal to (i) the difference between the Daily Conversion Value and the Daily Measurement Value, divided by</w:t>
      </w:r>
    </w:p>
    <w:p>
      <w:pPr>
        <w:jc w:val="both"/>
        <w:ind w:left="840" w:right="219" w:hanging="7"/>
        <w:spacing w:after="0" w:line="253" w:lineRule="auto"/>
        <w:tabs>
          <w:tab w:leader="none" w:pos="1105"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Daily VWAP for such Trading Day. The “Daily Measurement Value” is defined as the Specified Dollar Amount (as defined below), if any, divided by 20. The “Specified Dollar Amount” is defined as the maximum cash amount per $1,000 principal amount of Notes to be received upon conversion as specified in the notice specifying the Company’s chosen settlement method.</w:t>
      </w:r>
    </w:p>
    <w:p>
      <w:pPr>
        <w:spacing w:after="0" w:line="152" w:lineRule="exact"/>
        <w:rPr>
          <w:sz w:val="20"/>
          <w:szCs w:val="20"/>
          <w:color w:val="auto"/>
        </w:rPr>
      </w:pPr>
    </w:p>
    <w:p>
      <w:pPr>
        <w:ind w:left="60" w:right="119" w:firstLine="441"/>
        <w:spacing w:after="0" w:line="271" w:lineRule="auto"/>
        <w:rPr>
          <w:sz w:val="20"/>
          <w:szCs w:val="20"/>
          <w:color w:val="auto"/>
        </w:rPr>
      </w:pPr>
      <w:r>
        <w:rPr>
          <w:rFonts w:ascii="Arial" w:cs="Arial" w:eastAsia="Arial" w:hAnsi="Arial"/>
          <w:sz w:val="17"/>
          <w:szCs w:val="17"/>
          <w:color w:val="auto"/>
        </w:rPr>
        <w:t>In the event of a Corporate Transaction, the noteholder shall have the right to either (a) convert all of the unpaid principal at the conversion rate and receive a cash payment equal to (i) the outstanding accrued but unpaid interest under the 2026 Convertible Note to, but excluding, the corporate transaction conversion date (to the extent such date occurs prior to March 1, 2026, the maturity date of the 2026 Convertible Notes) plus (ii) and an additional amount of consideration based on a sliding scale depending on the date of such as Corporate transaction or (b) require the Company to repurchase all or part of the outstanding principal amount of such 2026 Convertible Note at a repurchase price equal to 100% of the outstanding principal amount of the 2026 Convertible Note to be repurchased, plus accrued and unpaid interest to, but excluding, the repurchase date.</w:t>
      </w:r>
    </w:p>
    <w:p>
      <w:pPr>
        <w:spacing w:after="0" w:line="178" w:lineRule="exact"/>
        <w:rPr>
          <w:sz w:val="20"/>
          <w:szCs w:val="20"/>
          <w:color w:val="auto"/>
        </w:rPr>
      </w:pPr>
    </w:p>
    <w:p>
      <w:pPr>
        <w:ind w:left="60" w:right="59" w:firstLine="441"/>
        <w:spacing w:after="0" w:line="296" w:lineRule="auto"/>
        <w:rPr>
          <w:sz w:val="20"/>
          <w:szCs w:val="20"/>
          <w:color w:val="auto"/>
        </w:rPr>
      </w:pPr>
      <w:r>
        <w:rPr>
          <w:rFonts w:ascii="Arial" w:cs="Arial" w:eastAsia="Arial" w:hAnsi="Arial"/>
          <w:sz w:val="16"/>
          <w:szCs w:val="16"/>
          <w:color w:val="auto"/>
        </w:rPr>
        <w:t>A corporate transaction includes (i) a merger or consolidation executed through a tender offer or change of control (other than one in which stockholders of the Company own a majority by voting power of the outstanding shares of the surviving or acquiring corporation); (ii) a sale, lease, transfer, of all or substantially all of the assets of the Company; or (iii) if the Company’s common stock ceases to be listed or quoted on any of the New York Stock Exchange, the Nasdaq Global Select Market, the Nasdaq Global Market or the Nasdaq Capital Market (the “Corporate Transaction”).</w:t>
      </w:r>
    </w:p>
    <w:p>
      <w:pPr>
        <w:spacing w:after="0" w:line="161" w:lineRule="exact"/>
        <w:rPr>
          <w:sz w:val="20"/>
          <w:szCs w:val="20"/>
          <w:color w:val="auto"/>
        </w:rPr>
      </w:pPr>
    </w:p>
    <w:p>
      <w:pPr>
        <w:ind w:left="60" w:right="139" w:firstLine="441"/>
        <w:spacing w:after="0" w:line="296" w:lineRule="auto"/>
        <w:rPr>
          <w:sz w:val="20"/>
          <w:szCs w:val="20"/>
          <w:color w:val="auto"/>
        </w:rPr>
      </w:pPr>
      <w:r>
        <w:rPr>
          <w:rFonts w:ascii="Arial" w:cs="Arial" w:eastAsia="Arial" w:hAnsi="Arial"/>
          <w:sz w:val="16"/>
          <w:szCs w:val="16"/>
          <w:color w:val="auto"/>
        </w:rPr>
        <w:t>On or after March 1, 2022, if the last reported sale price of the common stock has been at least 130% of the conversion rate then in effect for 20 of the preceding 30 trading days (including the last trading day of such period), the Company is entitled, at its option, to redeem all or part of the outstanding principal amount of the 2026 Convertible Notes, on a pro rata basis, at an optional redemption price equal to 100% of the outstanding principal amount of the 2026 Convertible Notes to be redeemed, plus accrued and unpaid interest to, but excluding, the optional redemption date.</w:t>
      </w:r>
    </w:p>
    <w:p>
      <w:pPr>
        <w:spacing w:after="0" w:line="161" w:lineRule="exact"/>
        <w:rPr>
          <w:sz w:val="20"/>
          <w:szCs w:val="20"/>
          <w:color w:val="auto"/>
        </w:rPr>
      </w:pPr>
    </w:p>
    <w:p>
      <w:pPr>
        <w:ind w:left="60" w:right="159" w:firstLine="441"/>
        <w:spacing w:after="0" w:line="263" w:lineRule="auto"/>
        <w:rPr>
          <w:sz w:val="20"/>
          <w:szCs w:val="20"/>
          <w:color w:val="auto"/>
        </w:rPr>
      </w:pPr>
      <w:r>
        <w:rPr>
          <w:rFonts w:ascii="Arial" w:cs="Arial" w:eastAsia="Arial" w:hAnsi="Arial"/>
          <w:sz w:val="18"/>
          <w:szCs w:val="18"/>
          <w:color w:val="auto"/>
        </w:rPr>
        <w:t>The 2026 Convertible Notes are subject to acceleration upon the occurrence of specified events of default, including a default or breach of certain contracts material to the Company and the delisting and deregistration of the Company’s common stock.</w:t>
      </w:r>
    </w:p>
    <w:p>
      <w:pPr>
        <w:spacing w:after="0" w:line="184" w:lineRule="exact"/>
        <w:rPr>
          <w:sz w:val="20"/>
          <w:szCs w:val="20"/>
          <w:color w:val="auto"/>
        </w:rPr>
      </w:pPr>
    </w:p>
    <w:p>
      <w:pPr>
        <w:ind w:left="60" w:right="279" w:firstLine="441"/>
        <w:spacing w:after="0" w:line="311" w:lineRule="auto"/>
        <w:rPr>
          <w:sz w:val="20"/>
          <w:szCs w:val="20"/>
          <w:color w:val="auto"/>
        </w:rPr>
      </w:pPr>
      <w:r>
        <w:rPr>
          <w:rFonts w:ascii="Arial" w:cs="Arial" w:eastAsia="Arial" w:hAnsi="Arial"/>
          <w:sz w:val="16"/>
          <w:szCs w:val="16"/>
          <w:color w:val="auto"/>
        </w:rPr>
        <w:t>As discussed in Note 4, the Company determined that the embedded conversion option is required to be separated from the 2026 Convertible Notes and accounted for as a freestanding derivative instrument subject to derivative accounting. The allocation of proceeds to the conversion option results in a discount on the 2026 Convertible Notes.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7" w:name="page178"/>
    <w:bookmarkEnd w:id="1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Company is amortizing the discount to interest expense over the term of the 2026 Convertible Notes using the effective interest method.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2026 Convertible Notes at December 31, 2020 and 2019 is as follows:</w:t>
      </w:r>
    </w:p>
    <w:p>
      <w:pPr>
        <w:spacing w:after="0" w:line="218"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040" w:type="dxa"/>
            <w:vAlign w:val="bottom"/>
            <w:gridSpan w:val="3"/>
          </w:tcPr>
          <w:p>
            <w:pPr>
              <w:ind w:left="116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314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2026 Convertible Notes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r>
      <w:tr>
        <w:trPr>
          <w:trHeight w:val="216"/>
        </w:trPr>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discount</w:t>
            </w:r>
          </w:p>
        </w:tc>
        <w:tc>
          <w:tcPr>
            <w:tcW w:w="1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(15,101)</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22,399</w:t>
            </w:r>
          </w:p>
        </w:tc>
      </w:tr>
      <w:tr>
        <w:trPr>
          <w:trHeight w:val="216"/>
        </w:trPr>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interest</w:t>
            </w:r>
          </w:p>
        </w:tc>
        <w:tc>
          <w:tcPr>
            <w:tcW w:w="1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w:t>
            </w:r>
          </w:p>
        </w:tc>
      </w:tr>
      <w:tr>
        <w:trPr>
          <w:trHeight w:val="209"/>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24,305</w:t>
            </w:r>
          </w:p>
        </w:tc>
      </w:tr>
      <w:tr>
        <w:trPr>
          <w:trHeight w:val="20"/>
        </w:trPr>
        <w:tc>
          <w:tcPr>
            <w:tcW w:w="3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Property and Equipment,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4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9,074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Software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10"/>
        </w:trPr>
        <w:tc>
          <w:tcPr>
            <w:tcW w:w="4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w:t>
            </w:r>
          </w:p>
        </w:tc>
      </w:tr>
      <w:tr>
        <w:trPr>
          <w:trHeight w:val="210"/>
        </w:trPr>
        <w:tc>
          <w:tcPr>
            <w:tcW w:w="4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10,151</w:t>
            </w:r>
          </w:p>
        </w:tc>
      </w:tr>
      <w:tr>
        <w:trPr>
          <w:trHeight w:val="20"/>
        </w:trPr>
        <w:tc>
          <w:tcPr>
            <w:tcW w:w="4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79" w:firstLine="441"/>
        <w:spacing w:after="0" w:line="277" w:lineRule="auto"/>
        <w:rPr>
          <w:sz w:val="20"/>
          <w:szCs w:val="20"/>
          <w:color w:val="auto"/>
        </w:rPr>
      </w:pPr>
      <w:r>
        <w:rPr>
          <w:rFonts w:ascii="Arial" w:cs="Arial" w:eastAsia="Arial" w:hAnsi="Arial"/>
          <w:sz w:val="18"/>
          <w:szCs w:val="18"/>
          <w:color w:val="auto"/>
        </w:rPr>
        <w:t>Depreciation and amortization expense was $2,773 and $2,530 for the years ended December 31, 2020 and 2019,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consisted of the following:</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20" w:type="dxa"/>
            <w:vAlign w:val="bottom"/>
            <w:gridSpan w:val="3"/>
          </w:tcPr>
          <w:p>
            <w:pPr>
              <w:ind w:left="74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Accrued rebates and programs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29"/>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 on 2026 convertible notes</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7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Collaboration Agreements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AffaMed License Agreement</w:t>
      </w:r>
    </w:p>
    <w:p>
      <w:pPr>
        <w:spacing w:after="0" w:line="225" w:lineRule="exact"/>
        <w:rPr>
          <w:sz w:val="20"/>
          <w:szCs w:val="20"/>
          <w:color w:val="auto"/>
        </w:rPr>
      </w:pPr>
    </w:p>
    <w:p>
      <w:pPr>
        <w:ind w:left="60" w:right="179" w:firstLine="441"/>
        <w:spacing w:after="0" w:line="273" w:lineRule="auto"/>
        <w:rPr>
          <w:sz w:val="20"/>
          <w:szCs w:val="20"/>
          <w:color w:val="auto"/>
        </w:rPr>
      </w:pPr>
      <w:r>
        <w:rPr>
          <w:rFonts w:ascii="Arial" w:cs="Arial" w:eastAsia="Arial" w:hAnsi="Arial"/>
          <w:sz w:val="17"/>
          <w:szCs w:val="17"/>
          <w:color w:val="auto"/>
        </w:rPr>
        <w:t>On October 29, 2020, the Company entered into license agreement (“License Agreement”) with AffaMed Therapeutic Limited (“AffaMed”) for the development and commercialization of the Company’s DEXTENZA product regarding ocular inflammation and pain following cataract surgery and allergic conjunctivitis (collectively, the “DEXTENZA Field”) and for the Company’s OTX-TIC product candidate (collectively with DEXTENZA, the “AffaMed Licensed Products”) regarding open-angle glaucoma and ocular hypertension (collectively, the “TIC Field” and, with the DEXTENZA Field, each a “Field”), in each case in mainland China, Taiwan, Hong Kong, Macau, South</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8" w:name="page179"/>
    <w:bookmarkEnd w:id="1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342" w:lineRule="auto"/>
        <w:rPr>
          <w:sz w:val="20"/>
          <w:szCs w:val="20"/>
          <w:color w:val="auto"/>
        </w:rPr>
      </w:pPr>
      <w:r>
        <w:rPr>
          <w:rFonts w:ascii="Arial" w:cs="Arial" w:eastAsia="Arial" w:hAnsi="Arial"/>
          <w:sz w:val="16"/>
          <w:szCs w:val="16"/>
          <w:color w:val="auto"/>
        </w:rPr>
        <w:t>Korea, and the countries of the Association of Southeast Asian Nations (collectively, the “Territories”). The Company retains development and commercialization rights for the AffaMed Licensed Products in the rest of the world.</w:t>
      </w:r>
    </w:p>
    <w:p>
      <w:pPr>
        <w:spacing w:after="0" w:line="124" w:lineRule="exact"/>
        <w:rPr>
          <w:sz w:val="20"/>
          <w:szCs w:val="20"/>
          <w:color w:val="auto"/>
        </w:rPr>
      </w:pPr>
    </w:p>
    <w:p>
      <w:pPr>
        <w:ind w:left="60" w:right="199" w:firstLine="441"/>
        <w:spacing w:after="0" w:line="272" w:lineRule="auto"/>
        <w:rPr>
          <w:sz w:val="20"/>
          <w:szCs w:val="20"/>
          <w:color w:val="auto"/>
        </w:rPr>
      </w:pPr>
      <w:r>
        <w:rPr>
          <w:rFonts w:ascii="Arial" w:cs="Arial" w:eastAsia="Arial" w:hAnsi="Arial"/>
          <w:sz w:val="17"/>
          <w:szCs w:val="17"/>
          <w:color w:val="auto"/>
        </w:rPr>
        <w:t>Under the License Agreement, the Company received a non-refundable upfront payment of $12,000 in December 2020. The Company is also eligible to receive up to an additional $91,000 in aggregate, inclusive of a low-seven-figure clinical support payment, upon the achievement of certain regulatory, development and commercial milestones. The Company is also entitled to receive tiered, escalating royalties on the net sales of the AffaMed Licensed Products ranging from a low-teen to low-twenties percentage. Royalties under the License Agreement are payable on an AffaMed Licensed Product-by-AffaMed Licensed Product and jurisdiction-by-jurisdiction basis and are subject to potential reductions in specified circumstances, subject to a specified floor.</w:t>
      </w:r>
    </w:p>
    <w:p>
      <w:pPr>
        <w:spacing w:after="0" w:line="177" w:lineRule="exact"/>
        <w:rPr>
          <w:sz w:val="20"/>
          <w:szCs w:val="20"/>
          <w:color w:val="auto"/>
        </w:rPr>
      </w:pPr>
    </w:p>
    <w:p>
      <w:pPr>
        <w:ind w:left="60" w:right="59" w:firstLine="441"/>
        <w:spacing w:after="0" w:line="269" w:lineRule="auto"/>
        <w:rPr>
          <w:sz w:val="20"/>
          <w:szCs w:val="20"/>
          <w:color w:val="auto"/>
        </w:rPr>
      </w:pPr>
      <w:r>
        <w:rPr>
          <w:rFonts w:ascii="Arial" w:cs="Arial" w:eastAsia="Arial" w:hAnsi="Arial"/>
          <w:sz w:val="17"/>
          <w:szCs w:val="17"/>
          <w:color w:val="auto"/>
        </w:rPr>
        <w:t>Under the License Agreement, the Company is generally responsible for expenses related to the development of the AffaMed Licensed Products in the applicable Fields in the Territories, provided that AffaMed (i) reimburse the Company a low-teen percentage of expenses incurred in connection with certain clinical trials conducted by the Company and designed to support marketing approval of the AffaMed Licensed Product by the FDA or the European Medicines Agency (“Global Studies”); (ii) is solely responsible for expenses incurred in connection with territory-specific clinical trials that it conducts in furtherance of the development plan agreed between the parties in the applicable Fields in the Territories (“Local Studies”); and (iii) reimburse the Company in full for expenses incurred in connection with obtaining and maintaining regulatory approvals of the AffaMed Licensed Products in the applicable Fields in the Territories. In the event AffaMed declines to participate in a Global Study or to conduct a Local Study in any jurisdiction in which the Company determines to conduct such a study, the Company is relieved of its obligation to provide AffaMed clinical data from such study, other than safety data, unless AffaMed subsequently reimburses the Company in the amounts described above plus a prespecified premium.</w:t>
      </w:r>
    </w:p>
    <w:p>
      <w:pPr>
        <w:spacing w:after="0" w:line="179"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The License Agreement expires upon the expiration of the last royalty term for the last AffaMed Licensed Product in any applicable Field in the Territories. Either party may, subject to specified cure periods, terminate the License Agreement in the event of the other party’s uncured breach. Either party may also terminate the License Agreement under specified circumstances relating to the other party’s insolvency. AffaMed has the right to terminate the License Agreement at any time after completion of a Phase 3 clinical trial for OTX-TIC for any or no reason upon providing the Company three months’ notice. During an established period following its change of control or its entry into a global licensing agreement that includes the Territories with a third party, the Company has the option to terminate the License Agreement, subject to a specified notice period and the repayment of any costs and expenses incurred by AffaMed in connection with the License Agreement, including upfront and milestone payments AffaMed has previously paid to the Company, at a prespecified premium.</w:t>
      </w:r>
    </w:p>
    <w:p>
      <w:pPr>
        <w:spacing w:after="0" w:line="185" w:lineRule="exact"/>
        <w:rPr>
          <w:sz w:val="20"/>
          <w:szCs w:val="20"/>
          <w:color w:val="auto"/>
        </w:rPr>
      </w:pPr>
    </w:p>
    <w:p>
      <w:pPr>
        <w:ind w:left="60" w:right="239" w:firstLine="441"/>
        <w:spacing w:after="0" w:line="277" w:lineRule="auto"/>
        <w:rPr>
          <w:sz w:val="20"/>
          <w:szCs w:val="20"/>
          <w:color w:val="auto"/>
        </w:rPr>
      </w:pPr>
      <w:r>
        <w:rPr>
          <w:rFonts w:ascii="Arial" w:cs="Arial" w:eastAsia="Arial" w:hAnsi="Arial"/>
          <w:sz w:val="18"/>
          <w:szCs w:val="18"/>
          <w:color w:val="auto"/>
        </w:rPr>
        <w:t>The Company concluded that AffaMed is a customer in this arrangement, and as such, the arrangement falls within the scope of the revenue recognition guidance in ASC 606.</w:t>
      </w:r>
    </w:p>
    <w:p>
      <w:pPr>
        <w:spacing w:after="0" w:line="170" w:lineRule="exact"/>
        <w:rPr>
          <w:sz w:val="20"/>
          <w:szCs w:val="20"/>
          <w:color w:val="auto"/>
        </w:rPr>
      </w:pPr>
    </w:p>
    <w:p>
      <w:pPr>
        <w:ind w:left="60" w:right="419" w:firstLine="441"/>
        <w:spacing w:after="0" w:line="277" w:lineRule="auto"/>
        <w:rPr>
          <w:sz w:val="20"/>
          <w:szCs w:val="20"/>
          <w:color w:val="auto"/>
        </w:rPr>
      </w:pPr>
      <w:r>
        <w:rPr>
          <w:rFonts w:ascii="Arial" w:cs="Arial" w:eastAsia="Arial" w:hAnsi="Arial"/>
          <w:sz w:val="18"/>
          <w:szCs w:val="18"/>
          <w:color w:val="auto"/>
        </w:rPr>
        <w:t>At the inception of the License Agreement, the Company identified the following performance obligations in the agreement:</w:t>
      </w:r>
    </w:p>
    <w:p>
      <w:pPr>
        <w:spacing w:after="0" w:line="170" w:lineRule="exact"/>
        <w:rPr>
          <w:sz w:val="20"/>
          <w:szCs w:val="20"/>
          <w:color w:val="auto"/>
        </w:rPr>
      </w:pPr>
    </w:p>
    <w:p>
      <w:pPr>
        <w:ind w:left="840" w:hanging="331"/>
        <w:spacing w:after="0"/>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license, regulatory filings and manufacturing of DEXTENZA;</w:t>
      </w:r>
    </w:p>
    <w:p>
      <w:pPr>
        <w:spacing w:after="0" w:line="252" w:lineRule="exact"/>
        <w:rPr>
          <w:rFonts w:ascii="Arial" w:cs="Arial" w:eastAsia="Arial" w:hAnsi="Arial"/>
          <w:sz w:val="18"/>
          <w:szCs w:val="18"/>
          <w:color w:val="auto"/>
        </w:rPr>
      </w:pPr>
    </w:p>
    <w:p>
      <w:pPr>
        <w:ind w:left="840" w:right="479" w:hanging="331"/>
        <w:spacing w:after="0" w:line="277" w:lineRule="auto"/>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license, regulatory filings and manufacturing for the Company’s OTX-TIC product candidate regarding open-angle glaucoma and ocular hypertension in the Territories;</w:t>
      </w:r>
    </w:p>
    <w:p>
      <w:pPr>
        <w:spacing w:after="0" w:line="197" w:lineRule="exact"/>
        <w:rPr>
          <w:rFonts w:ascii="Arial" w:cs="Arial" w:eastAsia="Arial" w:hAnsi="Arial"/>
          <w:sz w:val="18"/>
          <w:szCs w:val="18"/>
          <w:color w:val="auto"/>
        </w:rPr>
      </w:pPr>
    </w:p>
    <w:p>
      <w:pPr>
        <w:ind w:left="840" w:hanging="331"/>
        <w:spacing w:after="0"/>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obligations to participate on various joint research, development and project committees; and</w:t>
      </w:r>
    </w:p>
    <w:p>
      <w:pPr>
        <w:spacing w:after="0" w:line="252" w:lineRule="exact"/>
        <w:rPr>
          <w:rFonts w:ascii="Arial" w:cs="Arial" w:eastAsia="Arial" w:hAnsi="Arial"/>
          <w:sz w:val="18"/>
          <w:szCs w:val="18"/>
          <w:color w:val="auto"/>
        </w:rPr>
      </w:pPr>
    </w:p>
    <w:p>
      <w:pPr>
        <w:ind w:left="840" w:hanging="331"/>
        <w:spacing w:after="0"/>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conduct of a Phase 2 clinical trial of OTX-TIC</w:t>
      </w:r>
    </w:p>
    <w:p>
      <w:pPr>
        <w:spacing w:after="0" w:line="252" w:lineRule="exact"/>
        <w:rPr>
          <w:sz w:val="20"/>
          <w:szCs w:val="20"/>
          <w:color w:val="auto"/>
        </w:rPr>
      </w:pPr>
    </w:p>
    <w:p>
      <w:pPr>
        <w:ind w:left="60" w:right="379" w:firstLine="648"/>
        <w:spacing w:after="0" w:line="263" w:lineRule="auto"/>
        <w:rPr>
          <w:sz w:val="20"/>
          <w:szCs w:val="20"/>
          <w:color w:val="auto"/>
        </w:rPr>
      </w:pPr>
      <w:r>
        <w:rPr>
          <w:rFonts w:ascii="Arial" w:cs="Arial" w:eastAsia="Arial" w:hAnsi="Arial"/>
          <w:sz w:val="18"/>
          <w:szCs w:val="18"/>
          <w:color w:val="auto"/>
        </w:rPr>
        <w:t>The Company has concluded there is a combined performance obligation for a development and commercialization license and manufacturing obligations for DEXTENZA Field and the Company’s OTX-TIC product candidate regarding open-angle glaucoma and ocular hypertension in the Territories.</w:t>
      </w:r>
    </w:p>
    <w:p>
      <w:pPr>
        <w:spacing w:after="0" w:line="184"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Further, AffaMed cannot exploit the value of the development and commercialization license for DEXTENZA Field and the Company’s OTX-TIC product candidate regarding open-angle glaucoma and ocular hypertension in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9" w:name="page180"/>
    <w:bookmarkEnd w:id="1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63" w:lineRule="auto"/>
        <w:rPr>
          <w:sz w:val="20"/>
          <w:szCs w:val="20"/>
          <w:color w:val="auto"/>
        </w:rPr>
      </w:pPr>
      <w:r>
        <w:rPr>
          <w:rFonts w:ascii="Arial" w:cs="Arial" w:eastAsia="Arial" w:hAnsi="Arial"/>
          <w:sz w:val="18"/>
          <w:szCs w:val="18"/>
          <w:color w:val="auto"/>
        </w:rPr>
        <w:t>Territories without receipt of supply as the development and commercialization license does not convey to AffaMed the right to manufacture and therefore the Company has combined the development and commercialization license and the manufacturing obligations into one performance obligation.</w:t>
      </w:r>
    </w:p>
    <w:p>
      <w:pPr>
        <w:spacing w:after="0" w:line="184"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The Company has concluded that the right of AffaMed to opt into the Global Studies for DEXTENZA and OTX-TIC are options that do not convey a material right to AffaMed. Therefore, these have not been recognized as performance obligations upon the inception of the License Agreement.</w:t>
      </w:r>
    </w:p>
    <w:p>
      <w:pPr>
        <w:spacing w:after="0" w:line="184" w:lineRule="exact"/>
        <w:rPr>
          <w:sz w:val="20"/>
          <w:szCs w:val="20"/>
          <w:color w:val="auto"/>
        </w:rPr>
      </w:pPr>
    </w:p>
    <w:p>
      <w:pPr>
        <w:ind w:left="60" w:right="919" w:firstLine="648"/>
        <w:spacing w:after="0" w:line="277" w:lineRule="auto"/>
        <w:rPr>
          <w:sz w:val="20"/>
          <w:szCs w:val="20"/>
          <w:color w:val="auto"/>
        </w:rPr>
      </w:pPr>
      <w:r>
        <w:rPr>
          <w:rFonts w:ascii="Arial" w:cs="Arial" w:eastAsia="Arial" w:hAnsi="Arial"/>
          <w:sz w:val="18"/>
          <w:szCs w:val="18"/>
          <w:color w:val="auto"/>
        </w:rPr>
        <w:t>With respect to the obligation of the Company to participate in joint research, development and project committees the Company has concluded that these obligations are not material.</w:t>
      </w:r>
    </w:p>
    <w:p>
      <w:pPr>
        <w:spacing w:after="0" w:line="170"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The transaction price was allocated to the performance obligations based on the relative estimated standalone selling prices of each performance obligation.</w:t>
      </w:r>
    </w:p>
    <w:p>
      <w:pPr>
        <w:spacing w:after="0" w:line="170"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The Company developed the estimated standalone selling price for the services and/or manufacturing and supply included in each of the performance obligation, as applicable, primarily based on the nature of the services to be performed and/or goods to be manufactured and estimates of the associated costs, adjusted for a reasonable profit margin that would be expected to be realized under similar contracts.</w:t>
      </w:r>
    </w:p>
    <w:p>
      <w:pPr>
        <w:spacing w:after="0" w:line="187" w:lineRule="exact"/>
        <w:rPr>
          <w:sz w:val="20"/>
          <w:szCs w:val="20"/>
          <w:color w:val="auto"/>
        </w:rPr>
      </w:pPr>
    </w:p>
    <w:p>
      <w:pPr>
        <w:ind w:left="60" w:right="319" w:firstLine="648"/>
        <w:spacing w:after="0" w:line="286" w:lineRule="auto"/>
        <w:rPr>
          <w:sz w:val="20"/>
          <w:szCs w:val="20"/>
          <w:color w:val="auto"/>
        </w:rPr>
      </w:pPr>
      <w:r>
        <w:rPr>
          <w:rFonts w:ascii="Arial" w:cs="Arial" w:eastAsia="Arial" w:hAnsi="Arial"/>
          <w:sz w:val="17"/>
          <w:szCs w:val="17"/>
          <w:color w:val="auto"/>
        </w:rPr>
        <w:t>The Company has determined that any sales-based royalties and milestones will be recognized as the Company delivers the clinical and commercial manufactured product to AffaMed. Any changes in estimates may result in a cumulative catch-up based on the number of units of manufactured product delivered.</w:t>
      </w:r>
    </w:p>
    <w:p>
      <w:pPr>
        <w:spacing w:after="0" w:line="165"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As of December 31, 2020, the transaction price was determined to be $12,000. All potential regulatory, development and commercial milestone payments in the amount of $91,000 did not meet the recognition criteria under the most likely method, because their achievement was highly dependent on factors outside the control of the Company and therefore, were excluded from the transaction price as of December 31, 2020. Furthermore, under the expected value method the Company excluded the potential royalties from the transaction price.</w:t>
      </w:r>
    </w:p>
    <w:p>
      <w:pPr>
        <w:spacing w:after="0" w:line="176"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We recognize revenue related to the amounts allocated to the combined performance obligations for DEXTENZA Field and the Company’s OTX-TIC product candidate based on the point in time upon which control of supply is transferred to AffaMed for each delivery of the associated supply. The Company currently expects to recognize the revenue over a period of approximately seven to eight years commencing on the date the Company begins delivering product to AffaMed. This estimate of this period considers the timing of development and commercial activities under the License Agreement and may be reduced or increased based on the various activities as directed by the joint committees, decisions made by AffaMed, regulatory feedback or other factors not currently known.</w:t>
      </w:r>
    </w:p>
    <w:p>
      <w:pPr>
        <w:spacing w:after="0" w:line="166"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 has not recognized any revenue under the License Agreement as of December 31, 2020 as there has not been any delivery of product under the License Agreement. The Company does not expect to recognize material revenue from the License Agreement in 2021. The entire transaction price is recorded as deferred revenue as of December 31,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Regeneron Collaboration Agreement</w:t>
      </w:r>
    </w:p>
    <w:p>
      <w:pPr>
        <w:spacing w:after="0" w:line="225" w:lineRule="exact"/>
        <w:rPr>
          <w:sz w:val="20"/>
          <w:szCs w:val="20"/>
          <w:color w:val="auto"/>
        </w:rPr>
      </w:pPr>
    </w:p>
    <w:p>
      <w:pPr>
        <w:ind w:left="60" w:right="99" w:firstLine="441"/>
        <w:spacing w:after="0" w:line="273" w:lineRule="auto"/>
        <w:rPr>
          <w:sz w:val="20"/>
          <w:szCs w:val="20"/>
          <w:color w:val="auto"/>
        </w:rPr>
      </w:pPr>
      <w:r>
        <w:rPr>
          <w:rFonts w:ascii="Arial" w:cs="Arial" w:eastAsia="Arial" w:hAnsi="Arial"/>
          <w:sz w:val="17"/>
          <w:szCs w:val="17"/>
          <w:color w:val="auto"/>
        </w:rPr>
        <w:t>On October 10, 2016, the Company entered into a Collaboration, Option and License Agreement (the “Collaboration Agreement”) with Regeneron Pharmaceuticals, Inc. (“Regeneron”) for the development and potential commercialization of products using the Company’s hydrogel in combination with Regeneron’s large molecule VEGF-targeting compounds for the treatment of retinal diseases. The Collaboration Agreement does not cover the development of any product candidates that deliver small molecule drugs, including TKIs for any target including VEGF, or any product candidate that delivers large molecule drugs other than those that target VEGF proteins.</w:t>
      </w:r>
    </w:p>
    <w:p>
      <w:pPr>
        <w:spacing w:after="0" w:line="178" w:lineRule="exact"/>
        <w:rPr>
          <w:sz w:val="20"/>
          <w:szCs w:val="20"/>
          <w:color w:val="auto"/>
        </w:rPr>
      </w:pPr>
    </w:p>
    <w:p>
      <w:pPr>
        <w:ind w:left="60" w:right="259" w:firstLine="441"/>
        <w:spacing w:after="0" w:line="296" w:lineRule="auto"/>
        <w:rPr>
          <w:sz w:val="20"/>
          <w:szCs w:val="20"/>
          <w:color w:val="auto"/>
        </w:rPr>
      </w:pPr>
      <w:r>
        <w:rPr>
          <w:rFonts w:ascii="Arial" w:cs="Arial" w:eastAsia="Arial" w:hAnsi="Arial"/>
          <w:sz w:val="16"/>
          <w:szCs w:val="16"/>
          <w:color w:val="auto"/>
        </w:rPr>
        <w:t>Under the terms of the Collaboration Agreement, the Company and Regeneron have agreed to conduct a joint research program with the aim of developing a sustained-release formulation of aflibercept, currently marketed under the tradename Eylea, that is suitable for advancement into clinical development. The Company has granted Regeneron an option (the “Option”) to enter into an exclusive, worldwide license to develop and commercialize products using the Company’s hydrogel in combination with Regeneron’s large molecule VEGF-targeting compounds (“Licensed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0" w:name="page181"/>
    <w:bookmarkEnd w:id="1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Products”). Under the term of the Collaboration Agreement, Regeneron is responsible for funding an initial preclinical tolerability study.</w:t>
      </w:r>
    </w:p>
    <w:p>
      <w:pPr>
        <w:spacing w:after="0" w:line="170"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color w:val="auto"/>
        </w:rPr>
        <w:t>If Regeneron decided to exercise the Option, Regeneron will be obligated to conduct further preclinical development and an initial clinical trial under a collaboration plan. The Company is obligated to reimburse Regeneron for certain development costs incurred by Regeneron under the collaboration plan during the period through the completion of the initial clinical trial, subject to a cap of $25,000, which cap may be increased by up to $5,000 under certain circumstances. If Regeneron elects to proceed with further development following the completion of the collaboration plan, it will be solely responsible for conducting and funding further development and commercialization of product candidates. If the Option is exercised, Regeneron is required to use commercially reasonable efforts to research, develop and commercialize at least one Licensed Product. Such efforts shall include initiating the dosing phase of a subsequent clinical trial within specified time periods following the completion of the first-in-human clinical trial or the initiation of preclinical toxicology studies, subject to certain extensions.</w:t>
      </w:r>
    </w:p>
    <w:p>
      <w:pPr>
        <w:spacing w:after="0" w:line="185" w:lineRule="exact"/>
        <w:rPr>
          <w:sz w:val="20"/>
          <w:szCs w:val="20"/>
          <w:color w:val="auto"/>
        </w:rPr>
      </w:pPr>
    </w:p>
    <w:p>
      <w:pPr>
        <w:ind w:left="60" w:right="99" w:firstLine="441"/>
        <w:spacing w:after="0" w:line="255" w:lineRule="auto"/>
        <w:rPr>
          <w:sz w:val="20"/>
          <w:szCs w:val="20"/>
          <w:color w:val="auto"/>
        </w:rPr>
      </w:pPr>
      <w:r>
        <w:rPr>
          <w:rFonts w:ascii="Arial" w:cs="Arial" w:eastAsia="Arial" w:hAnsi="Arial"/>
          <w:sz w:val="18"/>
          <w:szCs w:val="18"/>
          <w:color w:val="auto"/>
        </w:rPr>
        <w:t>Under the terms of the Collaboration Agreement, Regeneron has agreed to pay the Company $10,000 upon the exercise of the Option. The Company is also eligible to receive up to $145,000 per Licensed Product upon the achievement of specified development and regulatory milestones, $100,000 per Licensed Product upon first commercial sale of such Licensed Product and up to $50,000 based on the achievement of specified sales milestones for all Licensed Products. In addition, the Company is entitled to tiered, escalating royalties, in a range from a high-single digit to a low-to-mid teen percentage of net sales of Licensed Products.</w:t>
      </w:r>
    </w:p>
    <w:p>
      <w:pPr>
        <w:spacing w:after="0" w:line="233" w:lineRule="exact"/>
        <w:rPr>
          <w:sz w:val="20"/>
          <w:szCs w:val="20"/>
          <w:color w:val="auto"/>
        </w:rPr>
      </w:pPr>
    </w:p>
    <w:p>
      <w:pPr>
        <w:jc w:val="both"/>
        <w:ind w:left="60" w:right="439" w:firstLine="441"/>
        <w:spacing w:after="0" w:line="311" w:lineRule="auto"/>
        <w:rPr>
          <w:sz w:val="20"/>
          <w:szCs w:val="20"/>
          <w:color w:val="auto"/>
        </w:rPr>
      </w:pPr>
      <w:r>
        <w:rPr>
          <w:rFonts w:ascii="Arial" w:cs="Arial" w:eastAsia="Arial" w:hAnsi="Arial"/>
          <w:sz w:val="16"/>
          <w:szCs w:val="16"/>
          <w:color w:val="auto"/>
        </w:rPr>
        <w:t>In December 2017, the Company delivered to Regeneron a proposed final formulation for the initial preclinical tolerability study. Regeneron initiated the preclinical study in early 2018. The Company and Regeneron subsequently reached an understanding that the proposed formulation was not final and ceased development of it.</w:t>
      </w:r>
    </w:p>
    <w:p>
      <w:pPr>
        <w:spacing w:after="0" w:line="189" w:lineRule="exact"/>
        <w:rPr>
          <w:sz w:val="20"/>
          <w:szCs w:val="20"/>
          <w:color w:val="auto"/>
        </w:rPr>
      </w:pPr>
    </w:p>
    <w:p>
      <w:pPr>
        <w:ind w:left="60" w:right="99" w:firstLine="441"/>
        <w:spacing w:after="0" w:line="270" w:lineRule="auto"/>
        <w:rPr>
          <w:sz w:val="20"/>
          <w:szCs w:val="20"/>
          <w:color w:val="auto"/>
        </w:rPr>
      </w:pPr>
      <w:r>
        <w:rPr>
          <w:rFonts w:ascii="Arial" w:cs="Arial" w:eastAsia="Arial" w:hAnsi="Arial"/>
          <w:sz w:val="17"/>
          <w:szCs w:val="17"/>
          <w:color w:val="auto"/>
        </w:rPr>
        <w:t>On May 8, 2020, the Company entered into an amendment (the “Regeneron Amendment”) to the Collaboration Agreement. Pursuant to the Regeneron Amendment, the Company and Regeneron have adopted a new work plan to transition joint efforts under the Collaboration Agreement to the research and development of an extended-delivery formulation of aflibercept to be delivered to the suprachoroidal space. Regeneron has agreed to pay personnel and material costs of the Company for specified preclinical development activities in connection with the revised work plan, as well as certain other costs. In addition, the Regeneron Amendment provides for the modification of the terms of the Option previously granted to Regeneron under the Collaboration Agreement. As amended, the Option is exclusive for twenty-four months following May 8, 2020. Through December 31, 2020, the Option has not been exercised, and no payments have been made.</w:t>
      </w:r>
    </w:p>
    <w:p>
      <w:pPr>
        <w:spacing w:after="0" w:line="208" w:lineRule="exact"/>
        <w:rPr>
          <w:sz w:val="20"/>
          <w:szCs w:val="20"/>
          <w:color w:val="auto"/>
        </w:rPr>
      </w:pPr>
    </w:p>
    <w:p>
      <w:pPr>
        <w:ind w:left="60" w:right="159" w:firstLine="441"/>
        <w:spacing w:after="0" w:line="279" w:lineRule="auto"/>
        <w:rPr>
          <w:sz w:val="20"/>
          <w:szCs w:val="20"/>
          <w:color w:val="auto"/>
        </w:rPr>
      </w:pPr>
      <w:r>
        <w:rPr>
          <w:rFonts w:ascii="Arial" w:cs="Arial" w:eastAsia="Arial" w:hAnsi="Arial"/>
          <w:sz w:val="17"/>
          <w:szCs w:val="17"/>
          <w:color w:val="auto"/>
        </w:rPr>
        <w:t>As of December 31, 2020, the Company has recorded $1,256 related to work performed for preclinical development activities in connection with the revised work plan which the Company has recorded as a reduction of research and development expense as this research is not an output of the Company’s ordinary business activities. As of December 31, 2020, the Company has included the $1,256 in prepaid expenses and other current assets.</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Notes Payable</w:t>
      </w:r>
    </w:p>
    <w:p>
      <w:pPr>
        <w:spacing w:after="0" w:line="229" w:lineRule="exact"/>
        <w:rPr>
          <w:sz w:val="20"/>
          <w:szCs w:val="20"/>
          <w:color w:val="auto"/>
        </w:rPr>
      </w:pPr>
    </w:p>
    <w:p>
      <w:pPr>
        <w:ind w:left="60" w:right="139" w:firstLine="441"/>
        <w:spacing w:after="0" w:line="263" w:lineRule="auto"/>
        <w:rPr>
          <w:sz w:val="20"/>
          <w:szCs w:val="20"/>
          <w:color w:val="auto"/>
        </w:rPr>
      </w:pPr>
      <w:r>
        <w:rPr>
          <w:rFonts w:ascii="Arial" w:cs="Arial" w:eastAsia="Arial" w:hAnsi="Arial"/>
          <w:sz w:val="18"/>
          <w:szCs w:val="18"/>
          <w:color w:val="auto"/>
        </w:rPr>
        <w:t>The Company entered into a credit and security agreement in 2014 (as amended to date, the “Credit Agreement”) establishing the Company’s credit facility (the “Credit Facility”). The Company has a total borrowing capacity of $25,000 under the Credit Facility, which was fully drawn down as of December 31, 2020.</w:t>
      </w:r>
    </w:p>
    <w:p>
      <w:pPr>
        <w:spacing w:after="0" w:line="184" w:lineRule="exact"/>
        <w:rPr>
          <w:sz w:val="20"/>
          <w:szCs w:val="20"/>
          <w:color w:val="auto"/>
        </w:rPr>
      </w:pPr>
    </w:p>
    <w:p>
      <w:pPr>
        <w:ind w:left="60" w:right="319" w:firstLine="441"/>
        <w:spacing w:after="0" w:line="257" w:lineRule="auto"/>
        <w:rPr>
          <w:sz w:val="20"/>
          <w:szCs w:val="20"/>
          <w:color w:val="auto"/>
        </w:rPr>
      </w:pPr>
      <w:r>
        <w:rPr>
          <w:rFonts w:ascii="Arial" w:cs="Arial" w:eastAsia="Arial" w:hAnsi="Arial"/>
          <w:sz w:val="18"/>
          <w:szCs w:val="18"/>
          <w:color w:val="auto"/>
        </w:rPr>
        <w:t>In December 2018, the Company amended the terms of the Credit Agreement to increase total indebtedness under the Credit Facility to $25,000 which was used primarily to pay-off outstanding balances as of the closing date. The Company was required to make interest-only payments under the Credit Facility until December 2020. Commencing in January 2021, the Company is required to make 36 equal monthly installments of principal in the amount of $694, plus interest, through December 2023.</w:t>
      </w:r>
    </w:p>
    <w:p>
      <w:pPr>
        <w:spacing w:after="0" w:line="188" w:lineRule="exact"/>
        <w:rPr>
          <w:sz w:val="20"/>
          <w:szCs w:val="20"/>
          <w:color w:val="auto"/>
        </w:rPr>
      </w:pPr>
    </w:p>
    <w:p>
      <w:pPr>
        <w:ind w:left="60" w:right="119" w:firstLine="441"/>
        <w:spacing w:after="0" w:line="286" w:lineRule="auto"/>
        <w:rPr>
          <w:sz w:val="20"/>
          <w:szCs w:val="20"/>
          <w:color w:val="auto"/>
        </w:rPr>
      </w:pPr>
      <w:r>
        <w:rPr>
          <w:rFonts w:ascii="Arial" w:cs="Arial" w:eastAsia="Arial" w:hAnsi="Arial"/>
          <w:sz w:val="17"/>
          <w:szCs w:val="17"/>
          <w:color w:val="auto"/>
        </w:rPr>
        <w:t>Amounts borrowed under the Credit Agreement are at LIBOR base rate, subject to 2.00% floor, plus 7.25%. The interest rate on the date of the amendment was 9.76%. As of December 31, 2020, the interest rate was 9.25%. In addition, a final payment (exit fee) equal to 3.5% of amounts drawn under the Credit Facility, or $875 based 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1" w:name="page182"/>
    <w:bookmarkEnd w:id="1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borrowings of $25,000, is due upon the maturity date of December 21, 2023. The Company is accruing the exit fee through December 21, 2023.</w:t>
      </w:r>
    </w:p>
    <w:p>
      <w:pPr>
        <w:spacing w:after="0" w:line="170" w:lineRule="exact"/>
        <w:rPr>
          <w:sz w:val="20"/>
          <w:szCs w:val="20"/>
          <w:color w:val="auto"/>
        </w:rPr>
      </w:pPr>
    </w:p>
    <w:p>
      <w:pPr>
        <w:ind w:left="60" w:right="99" w:firstLine="441"/>
        <w:spacing w:after="0" w:line="279" w:lineRule="auto"/>
        <w:rPr>
          <w:sz w:val="20"/>
          <w:szCs w:val="20"/>
          <w:color w:val="auto"/>
        </w:rPr>
      </w:pPr>
      <w:r>
        <w:rPr>
          <w:rFonts w:ascii="Arial" w:cs="Arial" w:eastAsia="Arial" w:hAnsi="Arial"/>
          <w:sz w:val="17"/>
          <w:szCs w:val="17"/>
          <w:color w:val="auto"/>
        </w:rPr>
        <w:t>On August 2, 2019, the Company entered into a second amendment to the Credit Agreement in which the lenders agreed to remove the financial covenant requiring the Company to maintain a minimum of $5,000 of cash on hand. Prior to this amendment, the Company was required to maintain a minimum of $5,000 of cash on hand as a financial covenant to the borrowing arrangement, which the Company had included in long-term restricted cash.</w:t>
      </w:r>
    </w:p>
    <w:p>
      <w:pPr>
        <w:spacing w:after="0" w:line="171" w:lineRule="exact"/>
        <w:rPr>
          <w:sz w:val="20"/>
          <w:szCs w:val="20"/>
          <w:color w:val="auto"/>
        </w:rPr>
      </w:pPr>
    </w:p>
    <w:p>
      <w:pPr>
        <w:ind w:left="60" w:right="139" w:firstLine="531"/>
        <w:spacing w:after="0" w:line="291" w:lineRule="auto"/>
        <w:rPr>
          <w:sz w:val="20"/>
          <w:szCs w:val="20"/>
          <w:color w:val="auto"/>
        </w:rPr>
      </w:pPr>
      <w:r>
        <w:rPr>
          <w:rFonts w:ascii="Arial" w:cs="Arial" w:eastAsia="Arial" w:hAnsi="Arial"/>
          <w:sz w:val="16"/>
          <w:szCs w:val="16"/>
          <w:color w:val="auto"/>
        </w:rPr>
        <w:t>There are no other financial covenants associated with the Credit Agreement. However, there are negative covenants restricting the Company’s activities, including limitations on dispositions, mergers or acquisitions; encumbering its intellectual property; incurring indebtedness or liens; paying dividends; making certain investments; and engaging in certain other business transactions. As of December 31, 2020, the Company is not in violation of any of the covenants. The obligations under the Credit Agreement are subject to acceleration upon the occurrence of specified events of default, including a material adverse change in the Company’s business, operations or financial or other condition. The debt is collateralized by substantially all of the Company’s assets, including its intellectual property.</w:t>
      </w:r>
    </w:p>
    <w:p>
      <w:pPr>
        <w:spacing w:after="0" w:line="166" w:lineRule="exact"/>
        <w:rPr>
          <w:sz w:val="20"/>
          <w:szCs w:val="20"/>
          <w:color w:val="auto"/>
        </w:rPr>
      </w:pPr>
    </w:p>
    <w:p>
      <w:pPr>
        <w:ind w:left="60" w:right="199" w:firstLine="441"/>
        <w:spacing w:after="0" w:line="293" w:lineRule="auto"/>
        <w:rPr>
          <w:sz w:val="20"/>
          <w:szCs w:val="20"/>
          <w:color w:val="auto"/>
        </w:rPr>
      </w:pPr>
      <w:r>
        <w:rPr>
          <w:rFonts w:ascii="Arial" w:cs="Arial" w:eastAsia="Arial" w:hAnsi="Arial"/>
          <w:sz w:val="16"/>
          <w:szCs w:val="16"/>
          <w:color w:val="auto"/>
        </w:rPr>
        <w:t>In accordance with the Credit Agreement, in connection with the Company’s desire to issue and sell the 2026 Convertible Notes, the Company amended the terms of its debt with existing lenders in February 2019. The amendment added to the Credit Agreement, among other provisions, a negative covenant restricting the Company from paying the holders of the 2026 Convertible Notes ahead in priority to the existing lenders, for so long as indebtedness remains outstanding under the Credit Facility, and a cross-default provision to establish that an event of default under the purchase agreement for the 2026 Convertible Notes also constitutes an event of default under the Credit Agreement.</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Borrowings outstanding are as follows: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580" w:type="dxa"/>
            <w:vAlign w:val="bottom"/>
            <w:gridSpan w:val="3"/>
          </w:tcPr>
          <w:p>
            <w:pPr>
              <w:ind w:left="170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20" w:type="dxa"/>
            <w:vAlign w:val="bottom"/>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Accrued exit fee</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w:t>
            </w:r>
          </w:p>
        </w:tc>
        <w:tc>
          <w:tcPr>
            <w:tcW w:w="17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25,007</w:t>
            </w:r>
          </w:p>
        </w:tc>
      </w:tr>
      <w:tr>
        <w:trPr>
          <w:trHeight w:val="229"/>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7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500" w:type="dxa"/>
            <w:vAlign w:val="bottom"/>
            <w:gridSpan w:val="2"/>
          </w:tcPr>
          <w:p>
            <w:pPr>
              <w:spacing w:after="0"/>
              <w:rPr>
                <w:sz w:val="20"/>
                <w:szCs w:val="20"/>
                <w:color w:val="auto"/>
              </w:rPr>
            </w:pPr>
            <w:r>
              <w:rPr>
                <w:rFonts w:ascii="Arial" w:cs="Arial" w:eastAsia="Arial" w:hAnsi="Arial"/>
                <w:sz w:val="18"/>
                <w:szCs w:val="18"/>
                <w:color w:val="auto"/>
              </w:rPr>
              <w:t>Long-term notes payable</w:t>
            </w:r>
          </w:p>
        </w:tc>
        <w:tc>
          <w:tcPr>
            <w:tcW w:w="17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25,007</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441"/>
        <w:spacing w:after="0" w:line="277" w:lineRule="auto"/>
        <w:rPr>
          <w:sz w:val="20"/>
          <w:szCs w:val="20"/>
          <w:color w:val="auto"/>
        </w:rPr>
      </w:pPr>
      <w:r>
        <w:rPr>
          <w:rFonts w:ascii="Arial" w:cs="Arial" w:eastAsia="Arial" w:hAnsi="Arial"/>
          <w:sz w:val="18"/>
          <w:szCs w:val="18"/>
          <w:color w:val="auto"/>
        </w:rPr>
        <w:t>As of December 31, 2020, the annual repayment requirements for the Credit Facility, inclusive the final payment of $875 due at expiration, were as follows:</w:t>
      </w:r>
    </w:p>
    <w:p>
      <w:pPr>
        <w:spacing w:after="0" w:line="200" w:lineRule="exact"/>
        <w:rPr>
          <w:sz w:val="20"/>
          <w:szCs w:val="20"/>
          <w:color w:val="auto"/>
        </w:rPr>
      </w:pPr>
    </w:p>
    <w:p>
      <w:pPr>
        <w:spacing w:after="0" w:line="27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Principal</w:t>
            </w:r>
          </w:p>
        </w:tc>
        <w:tc>
          <w:tcPr>
            <w:tcW w:w="1200" w:type="dxa"/>
            <w:vAlign w:val="bottom"/>
            <w:gridSpan w:val="4"/>
          </w:tcPr>
          <w:p>
            <w:pPr>
              <w:ind w:left="140"/>
              <w:spacing w:after="0"/>
              <w:rPr>
                <w:sz w:val="20"/>
                <w:szCs w:val="20"/>
                <w:color w:val="auto"/>
              </w:rPr>
            </w:pPr>
            <w:r>
              <w:rPr>
                <w:rFonts w:ascii="Arial" w:cs="Arial" w:eastAsia="Arial" w:hAnsi="Arial"/>
                <w:sz w:val="14"/>
                <w:szCs w:val="14"/>
                <w:b w:val="1"/>
                <w:bCs w:val="1"/>
                <w:color w:val="auto"/>
              </w:rPr>
              <w:t>Final Payment</w:t>
            </w:r>
          </w:p>
        </w:tc>
        <w:tc>
          <w:tcPr>
            <w:tcW w:w="20" w:type="dxa"/>
            <w:vAlign w:val="bottom"/>
          </w:tcPr>
          <w:p>
            <w:pPr>
              <w:spacing w:after="0"/>
              <w:rPr>
                <w:sz w:val="14"/>
                <w:szCs w:val="14"/>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r>
      <w:tr>
        <w:trPr>
          <w:trHeight w:val="229"/>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8,333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8,333</w:t>
            </w:r>
          </w:p>
        </w:tc>
      </w:tr>
      <w:tr>
        <w:trPr>
          <w:trHeight w:val="230"/>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9,209</w:t>
            </w: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$ 25,000</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$ 25,875</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Warrants</w:t>
      </w:r>
    </w:p>
    <w:p>
      <w:pPr>
        <w:spacing w:after="0" w:line="229"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In April 2014, the Company entered into a credit facility with Silicon Valley Bank and MidCap Financial SBIC, LP, and it issued the lenders warrants to purchase 100,000 shares of its Series D-1 redeemable convertible preferred stock with an exercise price of $3.00 per share. Upon the closing of the Company’s IPO in July 2014, the preferred stock warrants became warrants to purchase an aggregate of 37,878 shares of its common stock with an exercise price of $7.92 per share, with Silicon Valley Bank and MidCap Financial SBIC, LP., each holding warrants of 18,939 shares of common stock.</w:t>
      </w:r>
    </w:p>
    <w:p>
      <w:pPr>
        <w:spacing w:after="0" w:line="192" w:lineRule="exact"/>
        <w:rPr>
          <w:sz w:val="20"/>
          <w:szCs w:val="20"/>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The Company had warrants for the purchase of 18,939 shares of common stock outstanding with MidCap Financial SBIC, LP at December 31, 2020 and 2019 at a weighted average exercise price of $7.92 per share and an expiration date of April 17, 2021.</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2" w:name="page183"/>
    <w:bookmarkEnd w:id="1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Preferred Stock</w:t>
      </w:r>
    </w:p>
    <w:p>
      <w:pPr>
        <w:spacing w:after="0" w:line="229" w:lineRule="exact"/>
        <w:rPr>
          <w:sz w:val="20"/>
          <w:szCs w:val="20"/>
          <w:color w:val="auto"/>
        </w:rPr>
      </w:pPr>
    </w:p>
    <w:p>
      <w:pPr>
        <w:ind w:left="60" w:right="179" w:firstLine="441"/>
        <w:spacing w:after="0" w:line="342" w:lineRule="auto"/>
        <w:rPr>
          <w:sz w:val="20"/>
          <w:szCs w:val="20"/>
          <w:color w:val="auto"/>
        </w:rPr>
      </w:pPr>
      <w:r>
        <w:rPr>
          <w:rFonts w:ascii="Arial" w:cs="Arial" w:eastAsia="Arial" w:hAnsi="Arial"/>
          <w:sz w:val="16"/>
          <w:szCs w:val="16"/>
          <w:color w:val="auto"/>
        </w:rPr>
        <w:t>The Amended and Restated Certificate of Incorporation authorized 5,000,000 shares of preferred stock, $0.0001 par value, all of which is undesignated and none of which are issued or outstanding at December 31, 2020 and 2019.</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Common Stock</w:t>
      </w:r>
    </w:p>
    <w:p>
      <w:pPr>
        <w:spacing w:after="0" w:line="229" w:lineRule="exact"/>
        <w:rPr>
          <w:sz w:val="20"/>
          <w:szCs w:val="20"/>
          <w:color w:val="auto"/>
        </w:rPr>
      </w:pPr>
    </w:p>
    <w:p>
      <w:pPr>
        <w:ind w:left="60" w:right="259" w:firstLine="441"/>
        <w:spacing w:after="0" w:line="263" w:lineRule="auto"/>
        <w:rPr>
          <w:sz w:val="20"/>
          <w:szCs w:val="20"/>
          <w:color w:val="auto"/>
        </w:rPr>
      </w:pPr>
      <w:r>
        <w:rPr>
          <w:rFonts w:ascii="Arial" w:cs="Arial" w:eastAsia="Arial" w:hAnsi="Arial"/>
          <w:sz w:val="18"/>
          <w:szCs w:val="18"/>
          <w:color w:val="auto"/>
        </w:rPr>
        <w:t>The Amended and Restated Certificate of Incorporation authorized 100,000,000 shares of the Company’s common stock. Each share of common stock entitles the holder to one vote on all matters submitted to a vote of the Company’s stockholders.</w:t>
      </w:r>
    </w:p>
    <w:p>
      <w:pPr>
        <w:spacing w:after="0" w:line="184" w:lineRule="exact"/>
        <w:rPr>
          <w:sz w:val="20"/>
          <w:szCs w:val="20"/>
          <w:color w:val="auto"/>
        </w:rPr>
      </w:pPr>
    </w:p>
    <w:p>
      <w:pPr>
        <w:ind w:left="60" w:right="159" w:firstLine="441"/>
        <w:spacing w:after="0" w:line="290" w:lineRule="auto"/>
        <w:rPr>
          <w:sz w:val="20"/>
          <w:szCs w:val="20"/>
          <w:color w:val="auto"/>
        </w:rPr>
      </w:pPr>
      <w:r>
        <w:rPr>
          <w:rFonts w:ascii="Arial" w:cs="Arial" w:eastAsia="Arial" w:hAnsi="Arial"/>
          <w:sz w:val="16"/>
          <w:szCs w:val="16"/>
          <w:color w:val="auto"/>
        </w:rPr>
        <w:t>On December 14, 2020, the Company entered into an underwriting agreement with Jefferies LLC (“Jefferies”) and Piper Sandler &amp; Co. (collectively with Jefferies, “the Underwriters”) in connection with an underwritten public offering of 3,725,000 shares of the Company’s common stock. Under the terms of this underwriting agreement, the Company also granted the Underwriters an option to purchase up to an additional 558,750 shares of common stock at the public offering price, less the underwriting discounts and commissions. The Underwriters subsequently exercised this option to purchase such option shares in full. The public offering price of the shares in this offering was $21.50 per share, and the Underwriters purchased all of the shares from the Company at a price of $20.21 per share. After deducting underwriting discounts and commissions and offering expenses, the Company received net proceeds from the offering of $86,390.</w:t>
      </w:r>
    </w:p>
    <w:p>
      <w:pPr>
        <w:spacing w:after="0" w:line="165" w:lineRule="exact"/>
        <w:rPr>
          <w:sz w:val="20"/>
          <w:szCs w:val="20"/>
          <w:color w:val="auto"/>
        </w:rPr>
      </w:pPr>
    </w:p>
    <w:p>
      <w:pPr>
        <w:ind w:left="60" w:right="99" w:firstLine="441"/>
        <w:spacing w:after="0" w:line="254" w:lineRule="auto"/>
        <w:rPr>
          <w:sz w:val="20"/>
          <w:szCs w:val="20"/>
          <w:color w:val="auto"/>
        </w:rPr>
      </w:pPr>
      <w:r>
        <w:rPr>
          <w:rFonts w:ascii="Arial" w:cs="Arial" w:eastAsia="Arial" w:hAnsi="Arial"/>
          <w:sz w:val="18"/>
          <w:szCs w:val="18"/>
          <w:color w:val="auto"/>
        </w:rPr>
        <w:t>On October 13, 2020, the Company entered into an underwriting agreement with the Underwriters, in connection with an underwritten public offering of 7,180,000 shares of the Company’s common stock. Under the terms of this underwriting agreement, the Company also granted the Underwriters an option to purchase up to an additional 1,077,000 shares of common stock at the public offering price, less the underwriting discounts and commissions. The Underwriters subsequently exercised this option to purchase such option shares in full. The public offering price of the shares in this offering was $9.75 per share, and the Underwriters purchased all of the shares from the Company at a price of $9.17 per share. After deducting underwriting discounts and commissions and offering expenses, the Company received net proceeds from the offering of $75,406.</w:t>
      </w:r>
    </w:p>
    <w:p>
      <w:pPr>
        <w:spacing w:after="0" w:line="192" w:lineRule="exact"/>
        <w:rPr>
          <w:sz w:val="20"/>
          <w:szCs w:val="20"/>
          <w:color w:val="auto"/>
        </w:rPr>
      </w:pPr>
    </w:p>
    <w:p>
      <w:pPr>
        <w:ind w:left="60" w:right="99" w:firstLine="441"/>
        <w:spacing w:after="0" w:line="254" w:lineRule="auto"/>
        <w:rPr>
          <w:sz w:val="20"/>
          <w:szCs w:val="20"/>
          <w:color w:val="auto"/>
        </w:rPr>
      </w:pPr>
      <w:r>
        <w:rPr>
          <w:rFonts w:ascii="Arial" w:cs="Arial" w:eastAsia="Arial" w:hAnsi="Arial"/>
          <w:sz w:val="18"/>
          <w:szCs w:val="18"/>
          <w:color w:val="auto"/>
        </w:rPr>
        <w:t>In May 2020, the Company entered into an underwriting agreement with the Underwriters, in connection with an underwritten public offering of 8,181,819 shares of the Company’s common stock. Under the terms of this underwriting agreement, the Company also granted the Underwriters an option to purchase up to an additional 1,227,272 shares of common stock at the public offering price, less the underwriting discounts and commissions. The Underwriters subsequently exercised this option to purchase such option shares in full. The public offering price of the shares in this offering was $5.50 per share, and the Underwriters purchased all of the shares from the Company at a price of $5.17 per share. After deducting underwriting discounts and commissions and offering expenses, the Company received net proceeds from the offering of $48,327.</w:t>
      </w:r>
    </w:p>
    <w:p>
      <w:pPr>
        <w:spacing w:after="0" w:line="182" w:lineRule="exact"/>
        <w:rPr>
          <w:sz w:val="20"/>
          <w:szCs w:val="20"/>
          <w:color w:val="auto"/>
        </w:rPr>
      </w:pPr>
    </w:p>
    <w:p>
      <w:pPr>
        <w:ind w:left="60" w:right="79" w:firstLine="441"/>
        <w:spacing w:after="0" w:line="275" w:lineRule="auto"/>
        <w:rPr>
          <w:sz w:val="20"/>
          <w:szCs w:val="20"/>
          <w:color w:val="auto"/>
        </w:rPr>
      </w:pPr>
      <w:r>
        <w:rPr>
          <w:rFonts w:ascii="Arial" w:cs="Arial" w:eastAsia="Arial" w:hAnsi="Arial"/>
          <w:sz w:val="16"/>
          <w:szCs w:val="16"/>
          <w:color w:val="auto"/>
        </w:rPr>
        <w:t>On April 5, 2019, the Company entered into an Open Market Sales Agreement</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(the “2019 Sales Agreement”) with Jefferies, under which the Company may offer and sell its common stock having aggregate proceeds of up to $50,000 from time-to-time through Jefferies, acting as agent. In the twelve months ended December 31, 2019, the Company sold 7,337,459 shares of common stock under the 2019 Sales Agreement, resulting in net proceeds of approximately $32,626, respectively, after commissions and expenses. In the twelve months ended December 31, 2020, the Company sold 2,984,381 shares of common stock under the 2019 Sales Agreement, resulting in net proceeds of approximately $14,359, respectively, after commissions and expenses. From inception through March 1, 2021, the Company sold an aggregate of 10,321,840 shares of common stock under the 2019 Sales Agreement, resulting in net proceeds of approximately $46,985 after commissions and expenses. The Company has $1,326 available for issuance as of March 1, 2021.</w:t>
      </w:r>
    </w:p>
    <w:p>
      <w:pPr>
        <w:spacing w:after="0" w:line="180" w:lineRule="exact"/>
        <w:rPr>
          <w:sz w:val="20"/>
          <w:szCs w:val="20"/>
          <w:color w:val="auto"/>
        </w:rPr>
      </w:pPr>
    </w:p>
    <w:p>
      <w:pPr>
        <w:ind w:left="60" w:right="79" w:firstLine="441"/>
        <w:spacing w:after="0" w:line="293" w:lineRule="auto"/>
        <w:rPr>
          <w:sz w:val="20"/>
          <w:szCs w:val="20"/>
          <w:color w:val="auto"/>
        </w:rPr>
      </w:pPr>
      <w:r>
        <w:rPr>
          <w:rFonts w:ascii="Arial" w:cs="Arial" w:eastAsia="Arial" w:hAnsi="Arial"/>
          <w:sz w:val="16"/>
          <w:szCs w:val="16"/>
          <w:color w:val="auto"/>
        </w:rPr>
        <w:t>In November 2016, the Company entered into a controlled equity offering sales agreement, (the “2016 Sales Agreement”) with Cantor Fitzgerald &amp; Co., (“Cantor”), under which the Company may offer and sell its common stock having aggregate proceeds of up to $40,000 may be sold from time to time. During the year ended December 31, 2018, the Company sold 4,121,173 shares of common stock under the 2016 Sales Agreement, resulting in net proceeds of approximately $26,824 after underwriting discounts, commissions and expenses. Through December 31, 2018, the Company had sold 5,011,741 shares of common stock under the 2016 Sales Agreement, resulting in net proceeds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3" w:name="page184"/>
    <w:bookmarkEnd w:id="1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approximately $33,427 after underwriting discounts, commissions and expenses. In the three months ended March 31, 2019, the Company sold 1,318,481 shares of common stock under the 2016 Sales Agreement, resulting in net proceeds of approximately $4,954 after underwriting discounts and commissions and expenses. As of February 25, 2019, the Company had no amounts remaining available for future sale under the 2016 Sales Agreement. On February 28, 2019, pursuant to the 2016 Sales Agreement, the Company delivered a termination notice to Cantor, terminating the 2016 Sales Agreement. Through March 31, 2019, the Company sold 6,330,222 shares of common stock under the 2016 Sales Agreement, resulting in net proceeds of approximately $38,381 after underwriting discounts and commissions and expenses.</w:t>
      </w:r>
    </w:p>
    <w:p>
      <w:pPr>
        <w:spacing w:after="0" w:line="166" w:lineRule="exact"/>
        <w:rPr>
          <w:sz w:val="20"/>
          <w:szCs w:val="20"/>
          <w:color w:val="auto"/>
        </w:rPr>
      </w:pPr>
    </w:p>
    <w:p>
      <w:pPr>
        <w:ind w:left="60" w:right="99" w:firstLine="441"/>
        <w:spacing w:after="0" w:line="257" w:lineRule="auto"/>
        <w:rPr>
          <w:sz w:val="20"/>
          <w:szCs w:val="20"/>
          <w:color w:val="auto"/>
        </w:rPr>
      </w:pPr>
      <w:r>
        <w:rPr>
          <w:rFonts w:ascii="Arial" w:cs="Arial" w:eastAsia="Arial" w:hAnsi="Arial"/>
          <w:sz w:val="18"/>
          <w:szCs w:val="18"/>
          <w:color w:val="auto"/>
        </w:rPr>
        <w:t>As of December 31, 2020, the Company had reserved 11,191,284 shares of common stock for the exercise of outstanding stock options and the number of shares remaining available for grant under the Company’s 2014 Stock Incentive Plan (the “2014 Plan”) and the 2019 Inducement Stock Incentive Plan (the “2019 Inducement Plan”), the number of shares available for issuance under the 2014 Employee Stock Purchase Plan (Note 13), and the outstanding warrants to purchase common stock (Note 10).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Stock-Based Awards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2014 Stock Incentive Plan</w:t>
      </w:r>
    </w:p>
    <w:p>
      <w:pPr>
        <w:spacing w:after="0" w:line="225" w:lineRule="exact"/>
        <w:rPr>
          <w:sz w:val="20"/>
          <w:szCs w:val="20"/>
          <w:color w:val="auto"/>
        </w:rPr>
      </w:pPr>
    </w:p>
    <w:p>
      <w:pPr>
        <w:ind w:left="60" w:right="99" w:firstLine="441"/>
        <w:spacing w:after="0" w:line="287" w:lineRule="auto"/>
        <w:rPr>
          <w:sz w:val="20"/>
          <w:szCs w:val="20"/>
          <w:color w:val="auto"/>
        </w:rPr>
      </w:pPr>
      <w:r>
        <w:rPr>
          <w:rFonts w:ascii="Arial" w:cs="Arial" w:eastAsia="Arial" w:hAnsi="Arial"/>
          <w:sz w:val="16"/>
          <w:szCs w:val="16"/>
          <w:color w:val="auto"/>
        </w:rPr>
        <w:t>The 2014 Plan provides for the grant of incentive stock options, non-statutory stock options, restricted stock awards, restricted stock units, stock appreciation rights and other stock-based awards. The number of shares initially reserved for issuance under the 2014 Plan was 1,336,907 shares of common stock, which was increased to 2,126,907 on January 1, 2015. The number of shares reserved for issuance may be increased by the number of shares under the 2006 Stock Option Plan (the “2006 Plan”) that expire, terminate or are otherwise surrendered, cancelled, forfeited or repurchased by the Company. The number of shares of common stock that may be issued under the 2014 Plan is subject to increase on the first day of each fiscal year, beginning on January 1, 2015 and ending on December 31, 2024, equal to the least of 1,659,218 shares of the Company’s common stock, 4% of the number of shares of the Company’s common stock outstanding on the first day of the applicable fiscal year, and an amount determined by the Company’s board of directors. On January 1, 2020, the number of shares available for issuance under the 2014 Plan increased by 1,659,218. As of December 31, 2020, 883,416 shares remained available for issuance under the 2014 Plan.</w:t>
      </w:r>
    </w:p>
    <w:p>
      <w:pPr>
        <w:spacing w:after="0" w:line="185" w:lineRule="exact"/>
        <w:rPr>
          <w:sz w:val="20"/>
          <w:szCs w:val="20"/>
          <w:color w:val="auto"/>
        </w:rPr>
      </w:pPr>
    </w:p>
    <w:p>
      <w:pPr>
        <w:ind w:left="60" w:right="99" w:firstLine="441"/>
        <w:spacing w:after="0" w:line="277" w:lineRule="auto"/>
        <w:rPr>
          <w:sz w:val="20"/>
          <w:szCs w:val="20"/>
          <w:color w:val="auto"/>
        </w:rPr>
      </w:pPr>
      <w:r>
        <w:rPr>
          <w:rFonts w:ascii="Arial" w:cs="Arial" w:eastAsia="Arial" w:hAnsi="Arial"/>
          <w:sz w:val="18"/>
          <w:szCs w:val="18"/>
          <w:color w:val="auto"/>
        </w:rPr>
        <w:t>As required by the 2006 Plan and 2014 Plan, the exercise price for stock options granted is not to be less than the fair value of common shares as of the date of grant.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Inducement Stock Option Awards</w:t>
      </w:r>
    </w:p>
    <w:p>
      <w:pPr>
        <w:spacing w:after="0" w:line="225" w:lineRule="exact"/>
        <w:rPr>
          <w:sz w:val="20"/>
          <w:szCs w:val="20"/>
          <w:color w:val="auto"/>
        </w:rPr>
      </w:pPr>
    </w:p>
    <w:p>
      <w:pPr>
        <w:ind w:left="60" w:right="159" w:firstLine="441"/>
        <w:spacing w:after="0" w:line="271" w:lineRule="auto"/>
        <w:rPr>
          <w:sz w:val="20"/>
          <w:szCs w:val="20"/>
          <w:color w:val="auto"/>
        </w:rPr>
      </w:pPr>
      <w:r>
        <w:rPr>
          <w:rFonts w:ascii="Arial" w:cs="Arial" w:eastAsia="Arial" w:hAnsi="Arial"/>
          <w:sz w:val="17"/>
          <w:szCs w:val="17"/>
          <w:color w:val="auto"/>
        </w:rPr>
        <w:t>On June 20, 2017, the Company issued to Antony Mattessich, who became a director of the Company on June 20, 2017 and the Company’s President and Chief Executive Officer on July 26, 2017, a non-statutory stock option to purchase an aggregate of 590,000 shares of the Company’s common stock at an exercise price of $10.94 per share. Subject to Mr. Mattessich’s continued service to the Company, the stock option will vest over a four-year period, with 25% of the shares underlying the option award vesting on the one year anniversary of the grant date and the remaining 75% of the shares underlying the award vesting monthly thereafter. The stock option was issued outside of the Company’s 2014 Plan as an inducement material to Mr. Mattessich’s acceptance of an offer of employment with the Company in accordance with Nasdaq Listing Rule 5635(c)(4).</w:t>
      </w:r>
    </w:p>
    <w:p>
      <w:pPr>
        <w:spacing w:after="0" w:line="178" w:lineRule="exact"/>
        <w:rPr>
          <w:sz w:val="20"/>
          <w:szCs w:val="20"/>
          <w:color w:val="auto"/>
        </w:rPr>
      </w:pPr>
    </w:p>
    <w:p>
      <w:pPr>
        <w:ind w:left="60" w:right="119" w:firstLine="441"/>
        <w:spacing w:after="0" w:line="254" w:lineRule="auto"/>
        <w:rPr>
          <w:sz w:val="20"/>
          <w:szCs w:val="20"/>
          <w:color w:val="auto"/>
        </w:rPr>
      </w:pPr>
      <w:r>
        <w:rPr>
          <w:rFonts w:ascii="Arial" w:cs="Arial" w:eastAsia="Arial" w:hAnsi="Arial"/>
          <w:sz w:val="18"/>
          <w:szCs w:val="18"/>
          <w:color w:val="auto"/>
        </w:rPr>
        <w:t>On July 9, 2019, the Company issued to the Senior Vice President, Head of Business Development, a non-statutory stock option to purchase an aggregate of 60,000 shares of its common stock at an exercise price of $5.13 per share. Subject to his continued service to the Company, the stock option will vest over a four-year period, with 25% of the shares underlying the option award vesting on the one-year anniversary of the grant date and the remaining 75% of the shares underlying the award vesting monthly thereafter. The stock option was issued outside of the Company’s 2014 Plan as an inducement material to the individual’s acceptance of an offer of employment with the Company in accordance with Nasdaq Listing Rule 5635(c)(4).</w:t>
      </w:r>
    </w:p>
    <w:p>
      <w:pPr>
        <w:spacing w:after="0" w:line="195" w:lineRule="exact"/>
        <w:rPr>
          <w:sz w:val="20"/>
          <w:szCs w:val="20"/>
          <w:color w:val="auto"/>
        </w:rPr>
      </w:pPr>
    </w:p>
    <w:p>
      <w:pPr>
        <w:ind w:left="60" w:right="99" w:firstLine="441"/>
        <w:spacing w:after="0" w:line="301" w:lineRule="auto"/>
        <w:rPr>
          <w:sz w:val="20"/>
          <w:szCs w:val="20"/>
          <w:color w:val="auto"/>
        </w:rPr>
      </w:pPr>
      <w:r>
        <w:rPr>
          <w:rFonts w:ascii="Arial" w:cs="Arial" w:eastAsia="Arial" w:hAnsi="Arial"/>
          <w:sz w:val="16"/>
          <w:szCs w:val="16"/>
          <w:color w:val="auto"/>
        </w:rPr>
        <w:t>On October 29, 2019, the 2019 Inducement Plan was approved by the Board of Directors of the Company. The 2019 Inducement Plan provides for the following types of awards, each of which is referred to as an “Award”: non-statutory stock options, stock appreciation rights, restricted stock, restricted stock units and other stock-based awards. Awards under the 2019 Inducement Plan may only be granted to persons who (a) were not previously an employee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4" w:name="page185"/>
    <w:bookmarkEnd w:id="1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director of the Company or (b) are commencing employment with the Company following a bona fide period of non-employment, in either case as an inducement material to the individual’s entering into employment with the Company and in accordance with the requirements of Nasdaq Stock Market Rule 5635(c)(4). For the avoidance of doubt, neither consultants nor advisors shall be eligible to participate in the 2019 Inducement Plan. Each person who is granted an Award under the 2019 Inducement Plan is deemed a “Participant.”</w:t>
      </w:r>
    </w:p>
    <w:p>
      <w:pPr>
        <w:spacing w:after="0" w:line="188" w:lineRule="exact"/>
        <w:rPr>
          <w:sz w:val="20"/>
          <w:szCs w:val="20"/>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On December 10, 2020, the Board of Directors of the Company amended the 2019 Inducement Plan to increase the aggregate number of shares issuable by 554,000 shares of common stock to 1,054,000. As of December 31, 2020, 650,000 shares remained available for issuance under the 2019 Inducement Plan.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225" w:lineRule="exact"/>
        <w:rPr>
          <w:sz w:val="20"/>
          <w:szCs w:val="20"/>
          <w:color w:val="auto"/>
        </w:rPr>
      </w:pPr>
    </w:p>
    <w:p>
      <w:pPr>
        <w:ind w:left="60" w:right="79" w:firstLine="441"/>
        <w:spacing w:after="0" w:line="271" w:lineRule="auto"/>
        <w:rPr>
          <w:sz w:val="20"/>
          <w:szCs w:val="20"/>
          <w:color w:val="auto"/>
        </w:rPr>
      </w:pPr>
      <w:r>
        <w:rPr>
          <w:rFonts w:ascii="Arial" w:cs="Arial" w:eastAsia="Arial" w:hAnsi="Arial"/>
          <w:sz w:val="17"/>
          <w:szCs w:val="17"/>
          <w:color w:val="auto"/>
        </w:rPr>
        <w:t>The Company’s has a 2014 Employee Stock Purchase Plan (the “ESPP”) with a total of 207,402 shares of common stock reserved for issuance under this plan which increased to 232,402 shares of common stock on January 1, 2015. The number of shares of common stock that may be issued under the ESPP will automatically increase on the first day of each fiscal year, commencing on January 1, 2015 and ending on December 31, 2024, in an amount equal to the least of 207,402 shares of the Company’s common stock, 0.5% of the number of shares of the Company’s common stock outstanding on the first day of the applicable fiscal year, and an amount determined by the Company’s board of directors. On January 1, 2020, the number of shares available for issuance under the ESPP increased by 207,402. As of December 31, 2020, 524,194 shares of common stock remained available for issuance.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left="60" w:right="139" w:firstLine="441"/>
        <w:spacing w:after="0" w:line="289"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option-pricing model. The expected life of the options was calculated using the simplified method. The simplified method defines the life as the average of the contractual term of the options and the weighted-average vesting period for all option tranches. The Company utilized the simplified method because the Company did not have sufficient historical exercise data over the life of awards to provide a reasonable basis upon which to estimate expected term.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2020, there were no outstanding unvested service-based stock options held by nonemployees.</w:t>
      </w:r>
    </w:p>
    <w:p>
      <w:pPr>
        <w:spacing w:after="0" w:line="248" w:lineRule="exact"/>
        <w:rPr>
          <w:sz w:val="20"/>
          <w:szCs w:val="20"/>
          <w:color w:val="auto"/>
        </w:rPr>
      </w:pPr>
    </w:p>
    <w:p>
      <w:pPr>
        <w:ind w:left="60" w:right="319" w:firstLine="441"/>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are as follows, presented on a weighted average basis: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00" w:type="dxa"/>
            <w:vAlign w:val="bottom"/>
            <w:gridSpan w:val="5"/>
          </w:tcPr>
          <w:p>
            <w:pPr>
              <w:jc w:val="center"/>
              <w:ind w:right="900"/>
              <w:spacing w:after="0"/>
              <w:rPr>
                <w:sz w:val="20"/>
                <w:szCs w:val="20"/>
                <w:color w:val="auto"/>
              </w:rPr>
            </w:pPr>
            <w:r>
              <w:rPr>
                <w:rFonts w:ascii="Arial" w:cs="Arial" w:eastAsia="Arial" w:hAnsi="Arial"/>
                <w:sz w:val="14"/>
                <w:szCs w:val="14"/>
                <w:b w:val="1"/>
                <w:bCs w:val="1"/>
                <w:color w:val="auto"/>
                <w:w w:val="93"/>
              </w:rPr>
              <w:t>Year Ended</w:t>
            </w:r>
          </w:p>
        </w:tc>
      </w:tr>
      <w:tr>
        <w:trPr>
          <w:trHeight w:val="158"/>
        </w:trPr>
        <w:tc>
          <w:tcPr>
            <w:tcW w:w="9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300" w:type="dxa"/>
            <w:vAlign w:val="bottom"/>
            <w:gridSpan w:val="5"/>
          </w:tcPr>
          <w:p>
            <w:pPr>
              <w:jc w:val="center"/>
              <w:ind w:right="940"/>
              <w:spacing w:after="0" w:line="158" w:lineRule="exact"/>
              <w:rPr>
                <w:sz w:val="20"/>
                <w:szCs w:val="20"/>
                <w:color w:val="auto"/>
              </w:rPr>
            </w:pPr>
            <w:r>
              <w:rPr>
                <w:rFonts w:ascii="Arial" w:cs="Arial" w:eastAsia="Arial" w:hAnsi="Arial"/>
                <w:sz w:val="14"/>
                <w:szCs w:val="14"/>
                <w:b w:val="1"/>
                <w:bCs w:val="1"/>
                <w:color w:val="auto"/>
                <w:w w:val="92"/>
              </w:rPr>
              <w:t>December 31,</w:t>
            </w:r>
          </w:p>
        </w:tc>
      </w:tr>
      <w:tr>
        <w:trPr>
          <w:trHeight w:val="142"/>
        </w:trPr>
        <w:tc>
          <w:tcPr>
            <w:tcW w:w="920" w:type="dxa"/>
            <w:vAlign w:val="bottom"/>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9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8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86 %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87 %</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140" w:type="dxa"/>
            <w:vAlign w:val="bottom"/>
          </w:tcPr>
          <w:p>
            <w:pPr>
              <w:spacing w:after="0"/>
              <w:rPr>
                <w:sz w:val="20"/>
                <w:szCs w:val="20"/>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900" w:type="dxa"/>
            <w:vAlign w:val="bottom"/>
          </w:tcPr>
          <w:p>
            <w:pPr>
              <w:spacing w:after="0"/>
              <w:rPr>
                <w:sz w:val="20"/>
                <w:szCs w:val="20"/>
                <w:color w:val="auto"/>
              </w:rPr>
            </w:pPr>
          </w:p>
        </w:tc>
      </w:tr>
      <w:tr>
        <w:trPr>
          <w:trHeight w:val="850"/>
        </w:trPr>
        <w:tc>
          <w:tcPr>
            <w:tcW w:w="9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840" w:type="dxa"/>
            <w:vAlign w:val="bottom"/>
            <w:gridSpan w:val="3"/>
          </w:tcPr>
          <w:p>
            <w:pPr>
              <w:jc w:val="right"/>
              <w:ind w:right="2610"/>
              <w:spacing w:after="0"/>
              <w:rPr>
                <w:sz w:val="20"/>
                <w:szCs w:val="20"/>
                <w:color w:val="auto"/>
              </w:rPr>
            </w:pPr>
            <w:r>
              <w:rPr>
                <w:rFonts w:ascii="Arial" w:cs="Arial" w:eastAsia="Arial" w:hAnsi="Arial"/>
                <w:sz w:val="18"/>
                <w:szCs w:val="18"/>
                <w:color w:val="auto"/>
              </w:rPr>
              <w:t>F-28</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85" w:name="page186"/>
    <w:bookmarkEnd w:id="1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Shares Issuable</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Exercise</w:t>
            </w:r>
          </w:p>
        </w:tc>
        <w:tc>
          <w:tcPr>
            <w:tcW w:w="920" w:type="dxa"/>
            <w:vAlign w:val="bottom"/>
            <w:gridSpan w:val="2"/>
          </w:tcPr>
          <w:p>
            <w:pPr>
              <w:jc w:val="center"/>
              <w:ind w:left="5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Under Options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7,920,417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9"/>
        </w:trPr>
        <w:tc>
          <w:tcPr>
            <w:tcW w:w="5320" w:type="dxa"/>
            <w:vAlign w:val="bottom"/>
          </w:tcPr>
          <w:p>
            <w:pPr>
              <w:ind w:left="420"/>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2,449,950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(567,776)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Forfeited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(687,856)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9,114,735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131,032</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and expected to vest as of December 31, 2020</w:t>
            </w:r>
          </w:p>
        </w:tc>
        <w:tc>
          <w:tcPr>
            <w:tcW w:w="98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6.78</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5"/>
              </w:rPr>
              <w:t>120,315</w:t>
            </w:r>
          </w:p>
        </w:tc>
        <w:tc>
          <w:tcPr>
            <w:tcW w:w="0" w:type="dxa"/>
            <w:vAlign w:val="bottom"/>
          </w:tcPr>
          <w:p>
            <w:pPr>
              <w:spacing w:after="0" w:line="20" w:lineRule="exact"/>
              <w:rPr>
                <w:sz w:val="1"/>
                <w:szCs w:val="1"/>
                <w:color w:val="auto"/>
              </w:rPr>
            </w:pPr>
          </w:p>
        </w:tc>
      </w:tr>
      <w:tr>
        <w:trPr>
          <w:trHeight w:val="237"/>
        </w:trPr>
        <w:tc>
          <w:tcPr>
            <w:tcW w:w="5320" w:type="dxa"/>
            <w:vAlign w:val="bottom"/>
            <w:tcBorders>
              <w:bottom w:val="single" w:sz="8" w:color="CCEEFF"/>
            </w:tcBorders>
            <w:vMerge w:val="continue"/>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8,420,281</w:t>
            </w:r>
          </w:p>
        </w:tc>
        <w:tc>
          <w:tcPr>
            <w:tcW w:w="260" w:type="dxa"/>
            <w:vAlign w:val="bottom"/>
            <w:tcBorders>
              <w:bottom w:val="single" w:sz="8" w:color="CCEEFF"/>
            </w:tcBorders>
            <w:gridSpan w:val="2"/>
            <w:vMerge w:val="continue"/>
          </w:tcPr>
          <w:p>
            <w:pPr>
              <w:spacing w:after="0"/>
              <w:rPr>
                <w:sz w:val="20"/>
                <w:szCs w:val="20"/>
                <w:color w:val="auto"/>
              </w:rPr>
            </w:pPr>
          </w:p>
        </w:tc>
        <w:tc>
          <w:tcPr>
            <w:tcW w:w="480" w:type="dxa"/>
            <w:vAlign w:val="bottom"/>
            <w:tcBorders>
              <w:bottom w:val="single" w:sz="8" w:color="CCEEFF"/>
            </w:tcBorders>
            <w:vMerge w:val="continue"/>
          </w:tcPr>
          <w:p>
            <w:pPr>
              <w:spacing w:after="0"/>
              <w:rPr>
                <w:sz w:val="20"/>
                <w:szCs w:val="20"/>
                <w:color w:val="auto"/>
              </w:rPr>
            </w:pPr>
          </w:p>
        </w:tc>
        <w:tc>
          <w:tcPr>
            <w:tcW w:w="920" w:type="dxa"/>
            <w:vAlign w:val="bottom"/>
            <w:tcBorders>
              <w:bottom w:val="single" w:sz="8" w:color="CCEEFF"/>
            </w:tcBorders>
            <w:gridSpan w:val="2"/>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Options exercisable as of December 31, 2020</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5,001,463</w:t>
            </w:r>
          </w:p>
        </w:tc>
        <w:tc>
          <w:tcPr>
            <w:tcW w:w="260" w:type="dxa"/>
            <w:vAlign w:val="bottom"/>
            <w:tcBorders>
              <w:bottom w:val="single" w:sz="8" w:color="CCEEFF"/>
            </w:tcBorders>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7.72</w:t>
            </w:r>
          </w:p>
        </w:tc>
        <w:tc>
          <w:tcPr>
            <w:tcW w:w="9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67,984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239" w:firstLine="441"/>
        <w:spacing w:after="0" w:line="279"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was $4,307 and $54 during the years ended December 31, 2020 and 2019, respectively.</w:t>
      </w:r>
    </w:p>
    <w:p>
      <w:pPr>
        <w:spacing w:after="0" w:line="171" w:lineRule="exact"/>
        <w:rPr>
          <w:sz w:val="20"/>
          <w:szCs w:val="20"/>
          <w:color w:val="auto"/>
        </w:rPr>
      </w:pPr>
    </w:p>
    <w:p>
      <w:pPr>
        <w:ind w:left="60" w:right="479" w:firstLine="441"/>
        <w:spacing w:after="0" w:line="277" w:lineRule="auto"/>
        <w:rPr>
          <w:sz w:val="20"/>
          <w:szCs w:val="20"/>
          <w:color w:val="auto"/>
        </w:rPr>
      </w:pPr>
      <w:r>
        <w:rPr>
          <w:rFonts w:ascii="Arial" w:cs="Arial" w:eastAsia="Arial" w:hAnsi="Arial"/>
          <w:sz w:val="18"/>
          <w:szCs w:val="18"/>
          <w:color w:val="auto"/>
        </w:rPr>
        <w:t>The weighted average grant date fair value of stock options granted to employees and directors during the years ended December 31, 2020 and 2019 was $5.93 and $2.99 per share,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719" w:firstLine="441"/>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in the following expense categories of its statements of operations: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0" w:type="dxa"/>
            <w:vAlign w:val="bottom"/>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1,514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79" w:firstLine="441"/>
        <w:spacing w:after="0" w:line="277" w:lineRule="auto"/>
        <w:rPr>
          <w:sz w:val="20"/>
          <w:szCs w:val="20"/>
          <w:color w:val="auto"/>
        </w:rPr>
      </w:pPr>
      <w:r>
        <w:rPr>
          <w:rFonts w:ascii="Arial" w:cs="Arial" w:eastAsia="Arial" w:hAnsi="Arial"/>
          <w:sz w:val="18"/>
          <w:szCs w:val="18"/>
          <w:color w:val="auto"/>
        </w:rPr>
        <w:t>As of December 31, 2020, the Company had an aggregate of $12,103 of unrecognized stock-based compensation cost, which is expected to be recognized over a weighted average period of 2.6 years.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Net Loss Per Share</w:t>
      </w:r>
    </w:p>
    <w:p>
      <w:pPr>
        <w:spacing w:after="0" w:line="229" w:lineRule="exact"/>
        <w:rPr>
          <w:sz w:val="20"/>
          <w:szCs w:val="20"/>
          <w:color w:val="auto"/>
        </w:rPr>
      </w:pPr>
    </w:p>
    <w:p>
      <w:pPr>
        <w:ind w:left="60" w:right="479" w:firstLine="441"/>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for the years ended December 31, 2020 and 2019:</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5920" w:type="dxa"/>
            <w:vAlign w:val="bottom"/>
          </w:tcPr>
          <w:p>
            <w:pPr>
              <w:ind w:left="74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(155,636)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(86,372)</w:t>
            </w: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59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Weighted average common shares outstanding, basic and diluted</w:t>
            </w: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60,752,225</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45,273,231</w:t>
            </w:r>
          </w:p>
        </w:tc>
      </w:tr>
      <w:tr>
        <w:trPr>
          <w:trHeight w:val="196"/>
        </w:trPr>
        <w:tc>
          <w:tcPr>
            <w:tcW w:w="20" w:type="dxa"/>
            <w:vAlign w:val="bottom"/>
          </w:tcPr>
          <w:p>
            <w:pPr>
              <w:spacing w:after="0"/>
              <w:rPr>
                <w:sz w:val="17"/>
                <w:szCs w:val="17"/>
                <w:color w:val="auto"/>
              </w:rPr>
            </w:pPr>
          </w:p>
        </w:tc>
        <w:tc>
          <w:tcPr>
            <w:tcW w:w="5920" w:type="dxa"/>
            <w:vAlign w:val="bottom"/>
            <w:tcBorders>
              <w:bottom w:val="single" w:sz="8" w:color="CCEEFF"/>
            </w:tcBorders>
            <w:shd w:val="clear" w:color="auto" w:fill="CCEEFF"/>
          </w:tcPr>
          <w:p>
            <w:pPr>
              <w:ind w:left="740"/>
              <w:spacing w:after="0" w:line="196" w:lineRule="exact"/>
              <w:rPr>
                <w:sz w:val="20"/>
                <w:szCs w:val="20"/>
                <w:color w:val="auto"/>
              </w:rPr>
            </w:pPr>
            <w:r>
              <w:rPr>
                <w:rFonts w:ascii="Arial" w:cs="Arial" w:eastAsia="Arial" w:hAnsi="Arial"/>
                <w:sz w:val="18"/>
                <w:szCs w:val="18"/>
                <w:color w:val="auto"/>
              </w:rPr>
              <w:t>Net loss per share basic and diluted</w:t>
            </w: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60" w:right="239" w:firstLine="441"/>
        <w:spacing w:after="0" w:line="311" w:lineRule="auto"/>
        <w:rPr>
          <w:sz w:val="20"/>
          <w:szCs w:val="20"/>
          <w:color w:val="auto"/>
        </w:rPr>
      </w:pPr>
      <w:r>
        <w:rPr>
          <w:rFonts w:ascii="Arial" w:cs="Arial" w:eastAsia="Arial" w:hAnsi="Arial"/>
          <w:sz w:val="16"/>
          <w:szCs w:val="16"/>
          <w:color w:val="auto"/>
        </w:rPr>
        <w:t>The Company excluded the following common stock equivalents, outstanding as of December 31, 2020 and 2019, from the computation of diluted net loss per share attributable to common stockholders for the years ended December 31, 2020 and 2019 because they had an anti-dilutive impact due to the net loss incurred for the periods.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6" w:name="page187"/>
    <w:bookmarkEnd w:id="1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342" w:lineRule="auto"/>
        <w:rPr>
          <w:sz w:val="20"/>
          <w:szCs w:val="20"/>
          <w:color w:val="auto"/>
        </w:rPr>
      </w:pPr>
      <w:r>
        <w:rPr>
          <w:rFonts w:ascii="Arial" w:cs="Arial" w:eastAsia="Arial" w:hAnsi="Arial"/>
          <w:sz w:val="16"/>
          <w:szCs w:val="16"/>
          <w:color w:val="auto"/>
        </w:rPr>
        <w:t>Company also excluded the shares issuable upon conversion of the 2026 Convertible Notes from the computation of diluted net loss per share for the year ended December 31, 2020 and 2019 because they had an anti-dilutive impact.</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140" w:type="dxa"/>
            <w:vAlign w:val="bottom"/>
            <w:gridSpan w:val="4"/>
          </w:tcPr>
          <w:p>
            <w:pPr>
              <w:ind w:lef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9,114,735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7,920,417</w:t>
            </w:r>
          </w:p>
        </w:tc>
        <w:tc>
          <w:tcPr>
            <w:tcW w:w="140" w:type="dxa"/>
            <w:vAlign w:val="bottom"/>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Shares issuable upon conversion of 2026 Convertible Notes, if converted</w:t>
            </w:r>
          </w:p>
        </w:tc>
        <w:tc>
          <w:tcPr>
            <w:tcW w:w="920" w:type="dxa"/>
            <w:vAlign w:val="bottom"/>
          </w:tcPr>
          <w:p>
            <w:pPr>
              <w:jc w:val="right"/>
              <w:spacing w:after="0"/>
              <w:rPr>
                <w:sz w:val="20"/>
                <w:szCs w:val="20"/>
                <w:color w:val="auto"/>
              </w:rPr>
            </w:pPr>
            <w:r>
              <w:rPr>
                <w:rFonts w:ascii="Arial" w:cs="Arial" w:eastAsia="Arial" w:hAnsi="Arial"/>
                <w:sz w:val="18"/>
                <w:szCs w:val="18"/>
                <w:color w:val="auto"/>
              </w:rPr>
              <w:t>5,769,232</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5,769,232</w:t>
            </w:r>
          </w:p>
        </w:tc>
        <w:tc>
          <w:tcPr>
            <w:tcW w:w="140" w:type="dxa"/>
            <w:vAlign w:val="bottom"/>
          </w:tcPr>
          <w:p>
            <w:pPr>
              <w:spacing w:after="0"/>
              <w:rPr>
                <w:sz w:val="19"/>
                <w:szCs w:val="19"/>
                <w:color w:val="auto"/>
              </w:rPr>
            </w:pPr>
          </w:p>
        </w:tc>
      </w:tr>
      <w:tr>
        <w:trPr>
          <w:trHeight w:val="22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Warrants for the purchase of common stock</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1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140" w:type="dxa"/>
            <w:vAlign w:val="bottom"/>
            <w:shd w:val="clear" w:color="auto" w:fill="CCEEFF"/>
          </w:tcPr>
          <w:p>
            <w:pPr>
              <w:spacing w:after="0"/>
              <w:rPr>
                <w:sz w:val="19"/>
                <w:szCs w:val="19"/>
                <w:color w:val="auto"/>
              </w:rPr>
            </w:pPr>
          </w:p>
        </w:tc>
      </w:tr>
      <w:tr>
        <w:trPr>
          <w:trHeight w:val="210"/>
        </w:trPr>
        <w:tc>
          <w:tcPr>
            <w:tcW w:w="67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14,902,906</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13,708,588</w:t>
            </w:r>
          </w:p>
        </w:tc>
        <w:tc>
          <w:tcPr>
            <w:tcW w:w="14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 w:lineRule="exact"/>
        <w:rPr>
          <w:sz w:val="20"/>
          <w:szCs w:val="20"/>
          <w:color w:val="auto"/>
        </w:rPr>
      </w:pPr>
    </w:p>
    <w:p>
      <w:pPr>
        <w:jc w:val="center"/>
        <w:ind w:left="500" w:right="6159" w:hanging="450"/>
        <w:spacing w:after="0" w:line="603" w:lineRule="auto"/>
        <w:tabs>
          <w:tab w:leader="none" w:pos="330"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Intellectual Property Licenses</w:t>
      </w:r>
    </w:p>
    <w:p>
      <w:pPr>
        <w:spacing w:after="0" w:line="1"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color w:val="auto"/>
        </w:rPr>
        <w:t>The Company has a license agreement with Incept, LLC (“Incept”) to use and develop certain patent rights (the “Incept License”). Under the Incept License, as amended and restated, the Company was granted a worldwide, perpetual, exclusive license to develop and commercialize products that are delivered to or around the human eye for diagnostic, therapeutic or prophylactic purposes relating to ophthalmic diseases or conditions. The Company is obligated to pay low single-digit royalties on net sales of commercial products developed using the licensed technology, commencing with the date of the first commercial sale of such products and until the expiration of the last to expire of the patents covered by the license. Any of the Company’s sublicensees also will be obligated to pay Incept a royalty equal to a low single-digit percentage of net sales made by it and will be bound by the terms of the agreement to the same extent as the Company. The Company is obligated to reimburse Incept for its share of the reasonable fees and costs incurred by Incept in connection with the prosecution of the patent applications licensed to the Company under the Incept License. Through December 31, 2020, royalties paid under this agreement related to product sales were $575 and have been charged to cost of product revenue.</w:t>
      </w:r>
    </w:p>
    <w:p>
      <w:pPr>
        <w:spacing w:after="0" w:line="179" w:lineRule="exact"/>
        <w:rPr>
          <w:sz w:val="20"/>
          <w:szCs w:val="20"/>
          <w:color w:val="auto"/>
        </w:rPr>
      </w:pPr>
    </w:p>
    <w:p>
      <w:pPr>
        <w:ind w:left="60" w:right="119" w:firstLine="441"/>
        <w:spacing w:after="0" w:line="301" w:lineRule="auto"/>
        <w:rPr>
          <w:sz w:val="20"/>
          <w:szCs w:val="20"/>
          <w:color w:val="auto"/>
        </w:rPr>
      </w:pPr>
      <w:r>
        <w:rPr>
          <w:rFonts w:ascii="Arial" w:cs="Arial" w:eastAsia="Arial" w:hAnsi="Arial"/>
          <w:sz w:val="16"/>
          <w:szCs w:val="16"/>
          <w:color w:val="auto"/>
        </w:rPr>
        <w:t>On September 13, 2018, the Company entered into a second amended and restated license agreement (the “Second Amended Agreement”) with Incept. The Second Amended Agreement amends and restates in full the Company’s prior amended and restated Incept License (the “Prior Agreement” or “Original License”) to expand the scope of the Company’s intellectual property license and modify future intellectual property ownership and other rights thereunder.</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left="60" w:right="59" w:firstLine="441"/>
        <w:spacing w:after="0" w:line="288"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team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As of December 31, 2020, the Company was not aware of any claims that could have a material effect on its financial position, results of operations or cash flows, and it has not accrued any liabilities related to such obligations in its consolidated financial statements as of December 31, 2020.</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Collaboration Agreement</w:t>
      </w:r>
    </w:p>
    <w:p>
      <w:pPr>
        <w:spacing w:after="0" w:line="225" w:lineRule="exact"/>
        <w:rPr>
          <w:sz w:val="20"/>
          <w:szCs w:val="20"/>
          <w:color w:val="auto"/>
        </w:rPr>
      </w:pPr>
    </w:p>
    <w:p>
      <w:pPr>
        <w:ind w:left="60" w:right="79" w:firstLine="441"/>
        <w:spacing w:after="0" w:line="288" w:lineRule="auto"/>
        <w:rPr>
          <w:sz w:val="20"/>
          <w:szCs w:val="20"/>
          <w:color w:val="auto"/>
        </w:rPr>
      </w:pPr>
      <w:r>
        <w:rPr>
          <w:rFonts w:ascii="Arial" w:cs="Arial" w:eastAsia="Arial" w:hAnsi="Arial"/>
          <w:sz w:val="16"/>
          <w:szCs w:val="16"/>
          <w:color w:val="auto"/>
        </w:rPr>
        <w:t>On October 10, 2016, the Company entered into a Collaboration Agreement with Regeneron which the parties amended in May 2020 (Note 8). If the Option to enter into an exclusive worldwide license is exercised, Regeneron will be obligated to conduct further preclinical development and an initial clinical trial under a collaboration plan. The Company is obligated to reimburse Regeneron for certain development costs incurred by Regeneron under the collaboration plan during the period through the completion of the initial clinical trial, subject to a cap of $25,000, which cap may be increased by up to $5,000 under certain circumstances; the timing of such payments are not known. If Regeneron elects to proceed with further development following the completion of the collaboration plan, it will be solely responsible for conducting and funding further development and commercialization of product candidates. If the Option is exercised, Regeneron is required to use commercially reasonable efforts to research, develop and commercialize at least one Licensed Product. Such efforts shall include initiating the dosing phase of a subsequent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7" w:name="page188"/>
    <w:bookmarkEnd w:id="1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clinical trial within specified time periods following the completion of the first-in-human clinical trial or the initiation of preclinical toxicology studies, subject to certain extensions.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Leases</w:t>
      </w:r>
    </w:p>
    <w:p>
      <w:pPr>
        <w:spacing w:after="0" w:line="229" w:lineRule="exact"/>
        <w:rPr>
          <w:sz w:val="20"/>
          <w:szCs w:val="20"/>
          <w:color w:val="auto"/>
        </w:rPr>
      </w:pPr>
    </w:p>
    <w:p>
      <w:pPr>
        <w:ind w:left="60" w:right="279" w:firstLine="441"/>
        <w:spacing w:after="0" w:line="259" w:lineRule="auto"/>
        <w:rPr>
          <w:sz w:val="20"/>
          <w:szCs w:val="20"/>
          <w:color w:val="auto"/>
        </w:rPr>
      </w:pPr>
      <w:r>
        <w:rPr>
          <w:rFonts w:ascii="Arial" w:cs="Arial" w:eastAsia="Arial" w:hAnsi="Arial"/>
          <w:sz w:val="18"/>
          <w:szCs w:val="18"/>
          <w:color w:val="auto"/>
        </w:rPr>
        <w:t>The Company leases real estate, including laboratory, manufacturing and office space. The Company’s leases have remaining lease terms ranging from less than 1 year to 8 years. Certain leases include one or more options to renew, exercised at the Company’s sole discretion, with renewal terms that can extend the lease term from one year to six years. All of the Company’s leases qualify as operating leases.</w:t>
      </w:r>
    </w:p>
    <w:p>
      <w:pPr>
        <w:spacing w:after="0" w:line="187" w:lineRule="exact"/>
        <w:rPr>
          <w:sz w:val="20"/>
          <w:szCs w:val="20"/>
          <w:color w:val="auto"/>
        </w:rPr>
      </w:pPr>
    </w:p>
    <w:p>
      <w:pPr>
        <w:ind w:left="60" w:right="319" w:firstLine="441"/>
        <w:spacing w:after="0" w:line="263" w:lineRule="auto"/>
        <w:rPr>
          <w:sz w:val="20"/>
          <w:szCs w:val="20"/>
          <w:color w:val="auto"/>
        </w:rPr>
      </w:pPr>
      <w:r>
        <w:rPr>
          <w:rFonts w:ascii="Arial" w:cs="Arial" w:eastAsia="Arial" w:hAnsi="Arial"/>
          <w:sz w:val="18"/>
          <w:szCs w:val="18"/>
          <w:color w:val="auto"/>
        </w:rPr>
        <w:t>In October 2017, the Company entered into an amendment to a lease agreement for the Company’s laboratory and manufacturing space located at 34 Crosby Drive and 36 Crosby Drive, each in Bedford, Massachusetts. The lease term commenced on June 30, 2018 and will expire on July 31, 2023.</w:t>
      </w:r>
    </w:p>
    <w:p>
      <w:pPr>
        <w:spacing w:after="0" w:line="184" w:lineRule="exact"/>
        <w:rPr>
          <w:sz w:val="20"/>
          <w:szCs w:val="20"/>
          <w:color w:val="auto"/>
        </w:rPr>
      </w:pPr>
    </w:p>
    <w:p>
      <w:pPr>
        <w:ind w:left="60" w:right="139" w:firstLine="440"/>
        <w:spacing w:after="0" w:line="257" w:lineRule="auto"/>
        <w:rPr>
          <w:sz w:val="20"/>
          <w:szCs w:val="20"/>
          <w:color w:val="auto"/>
        </w:rPr>
      </w:pPr>
      <w:r>
        <w:rPr>
          <w:rFonts w:ascii="Arial" w:cs="Arial" w:eastAsia="Arial" w:hAnsi="Arial"/>
          <w:sz w:val="18"/>
          <w:szCs w:val="18"/>
          <w:color w:val="auto"/>
        </w:rPr>
        <w:t>In June 2016, the Company entered into a lease agreement for approximately 70,712 square feet of general office, research and development and manufacturing space located at 15 Crosby Drive in Bedford, Massachusetts. The lease term commenced on February 1, 2017 and will expire on July 31, 2027. The Company has the option to extend the for two additional periods of five years by delivering written notice of the exercise not earlier than fifteen months nor later than 12 months before expiration of the original term.</w:t>
      </w:r>
    </w:p>
    <w:p>
      <w:pPr>
        <w:spacing w:after="0" w:line="188" w:lineRule="exact"/>
        <w:rPr>
          <w:sz w:val="20"/>
          <w:szCs w:val="20"/>
          <w:color w:val="auto"/>
        </w:rPr>
      </w:pPr>
    </w:p>
    <w:p>
      <w:pPr>
        <w:ind w:left="60" w:right="99" w:firstLine="441"/>
        <w:spacing w:after="0" w:line="286" w:lineRule="auto"/>
        <w:rPr>
          <w:sz w:val="20"/>
          <w:szCs w:val="20"/>
          <w:color w:val="auto"/>
        </w:rPr>
      </w:pPr>
      <w:r>
        <w:rPr>
          <w:rFonts w:ascii="Arial" w:cs="Arial" w:eastAsia="Arial" w:hAnsi="Arial"/>
          <w:sz w:val="17"/>
          <w:szCs w:val="17"/>
          <w:color w:val="auto"/>
        </w:rPr>
        <w:t>On April 4, 2019, the Company entered into a non-cancelable lease for 30,036 square feet of space located at 24 Crosby Drive in Bedford, Massachusetts to be used for office space. The five-year lease commenced on April 18, 2019 and terminates on March 24, 2024 and does not include any lease renewal options.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For the</w:t>
            </w:r>
          </w:p>
        </w:tc>
        <w:tc>
          <w:tcPr>
            <w:tcW w:w="2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For the</w:t>
            </w:r>
          </w:p>
        </w:tc>
      </w:tr>
      <w:tr>
        <w:trPr>
          <w:trHeight w:val="216"/>
        </w:trPr>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8"/>
                <w:szCs w:val="18"/>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r>
      <w:tr>
        <w:trPr>
          <w:trHeight w:val="216"/>
        </w:trPr>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63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auto"/>
            </w:tcBorders>
          </w:tcPr>
          <w:p>
            <w:pPr>
              <w:spacing w:after="0"/>
              <w:rPr>
                <w:sz w:val="16"/>
                <w:szCs w:val="16"/>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80" w:type="dxa"/>
            <w:vAlign w:val="bottom"/>
            <w:shd w:val="clear" w:color="auto" w:fill="CCEEFF"/>
          </w:tcPr>
          <w:p>
            <w:pPr>
              <w:spacing w:after="0"/>
              <w:rPr>
                <w:sz w:val="18"/>
                <w:szCs w:val="18"/>
                <w:color w:val="auto"/>
              </w:rPr>
            </w:pP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bottom w:val="single" w:sz="8" w:color="CCEEFF"/>
            </w:tcBorders>
          </w:tcPr>
          <w:p>
            <w:pPr>
              <w:spacing w:after="0"/>
              <w:rPr>
                <w:sz w:val="18"/>
                <w:szCs w:val="18"/>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presentation in the Company’s consolidated balance sheet of its operating leases: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Operating lease assets</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Liability:</w:t>
      </w:r>
    </w:p>
    <w:p>
      <w:pPr>
        <w:spacing w:after="0" w:line="27" w:lineRule="exact"/>
        <w:rPr>
          <w:sz w:val="20"/>
          <w:szCs w:val="20"/>
          <w:color w:val="auto"/>
        </w:rPr>
      </w:pPr>
    </w:p>
    <w:p>
      <w:pPr>
        <w:ind w:left="160" w:right="320"/>
        <w:spacing w:after="0" w:line="259" w:lineRule="auto"/>
        <w:rPr>
          <w:sz w:val="20"/>
          <w:szCs w:val="20"/>
          <w:color w:val="auto"/>
        </w:rPr>
      </w:pPr>
      <w:r>
        <w:rPr>
          <w:rFonts w:ascii="Arial" w:cs="Arial" w:eastAsia="Arial" w:hAnsi="Arial"/>
          <w:sz w:val="18"/>
          <w:szCs w:val="18"/>
          <w:color w:val="auto"/>
        </w:rPr>
        <w:t>Current operating lease liabilities Non-current operating lease liabilities</w:t>
      </w:r>
    </w:p>
    <w:p>
      <w:pPr>
        <w:ind w:left="60"/>
        <w:spacing w:after="0"/>
        <w:rPr>
          <w:sz w:val="20"/>
          <w:szCs w:val="20"/>
          <w:color w:val="auto"/>
        </w:rPr>
      </w:pPr>
      <w:r>
        <w:rPr>
          <w:rFonts w:ascii="Arial" w:cs="Arial" w:eastAsia="Arial" w:hAnsi="Arial"/>
          <w:sz w:val="16"/>
          <w:szCs w:val="16"/>
          <w:b w:val="1"/>
          <w:bCs w:val="1"/>
          <w:color w:val="auto"/>
        </w:rPr>
        <w:t>Total Operating lease liabilities: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8"/>
        </w:trPr>
        <w:tc>
          <w:tcPr>
            <w:tcW w:w="2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36"/>
              <w:spacing w:after="0" w:line="158"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36"/>
              <w:spacing w:after="0" w:line="158"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860" w:type="dxa"/>
            <w:vAlign w:val="bottom"/>
            <w:gridSpan w:val="2"/>
          </w:tcPr>
          <w:p>
            <w:pPr>
              <w:spacing w:after="0"/>
              <w:rPr>
                <w:sz w:val="20"/>
                <w:szCs w:val="20"/>
                <w:color w:val="auto"/>
              </w:rPr>
            </w:pPr>
            <w:r>
              <w:rPr>
                <w:rFonts w:ascii="Arial" w:cs="Arial" w:eastAsia="Arial" w:hAnsi="Arial"/>
                <w:sz w:val="18"/>
                <w:szCs w:val="18"/>
                <w:color w:val="auto"/>
              </w:rPr>
              <w:t>Operating lease assets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286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Operating lease liabilities, net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gridSpan w:val="2"/>
          </w:tcPr>
          <w:p>
            <w:pPr>
              <w:spacing w:after="0"/>
              <w:rPr>
                <w:sz w:val="20"/>
                <w:szCs w:val="20"/>
                <w:color w:val="auto"/>
              </w:rPr>
            </w:pPr>
            <w:r>
              <w:rPr>
                <w:rFonts w:ascii="Arial" w:cs="Arial" w:eastAsia="Arial" w:hAnsi="Arial"/>
                <w:sz w:val="18"/>
                <w:szCs w:val="18"/>
                <w:color w:val="auto"/>
              </w:rPr>
              <w:t>current portion</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8,906</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-899160</wp:posOffset>
            </wp:positionV>
            <wp:extent cx="5648960"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4">
                      <a:extLst>
                        <a:ext uri="{28A0092B-C50C-407E-A947-70E740481C1C}"/>
                      </a:extLst>
                    </a:blip>
                    <a:srcRect/>
                    <a:stretch>
                      <a:fillRect/>
                    </a:stretch>
                  </pic:blipFill>
                  <pic:spPr bwMode="auto">
                    <a:xfrm>
                      <a:off x="0" y="0"/>
                      <a:ext cx="5648960" cy="16256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-590550</wp:posOffset>
            </wp:positionV>
            <wp:extent cx="5648960"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-170815</wp:posOffset>
            </wp:positionV>
            <wp:extent cx="564896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-1199515</wp:posOffset>
            </wp:positionV>
            <wp:extent cx="564896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54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8" w:name="page189"/>
    <w:bookmarkEnd w:id="1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minimum lease payments for the next five years and thereafter are expected to be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2022</w:t>
            </w:r>
          </w:p>
        </w:tc>
        <w:tc>
          <w:tcPr>
            <w:tcW w:w="4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2024</w:t>
            </w:r>
          </w:p>
        </w:tc>
        <w:tc>
          <w:tcPr>
            <w:tcW w:w="4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0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40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operating lease liabilities</w:t>
            </w:r>
          </w:p>
        </w:tc>
        <w:tc>
          <w:tcPr>
            <w:tcW w:w="4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39" w:firstLine="500"/>
        <w:spacing w:after="0" w:line="277" w:lineRule="auto"/>
        <w:rPr>
          <w:sz w:val="20"/>
          <w:szCs w:val="20"/>
          <w:color w:val="auto"/>
        </w:rPr>
      </w:pPr>
      <w:r>
        <w:rPr>
          <w:rFonts w:ascii="Arial" w:cs="Arial" w:eastAsia="Arial" w:hAnsi="Arial"/>
          <w:sz w:val="18"/>
          <w:szCs w:val="18"/>
          <w:color w:val="auto"/>
        </w:rPr>
        <w:t>The following table summarizes the weighted average remaining lease term and the weighted average incremental borrowing rate used to determine the operating lease liability:</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jc w:val="right"/>
              <w:ind w:right="119"/>
              <w:spacing w:after="0"/>
              <w:rPr>
                <w:sz w:val="20"/>
                <w:szCs w:val="20"/>
                <w:color w:val="auto"/>
              </w:rPr>
            </w:pPr>
            <w:r>
              <w:rPr>
                <w:rFonts w:ascii="Arial" w:cs="Arial" w:eastAsia="Arial" w:hAnsi="Arial"/>
                <w:sz w:val="14"/>
                <w:szCs w:val="14"/>
                <w:b w:val="1"/>
                <w:bCs w:val="1"/>
                <w:color w:val="auto"/>
              </w:rPr>
              <w:t>December 31,</w:t>
            </w:r>
          </w:p>
        </w:tc>
      </w:tr>
      <w:tr>
        <w:trPr>
          <w:trHeight w:val="158"/>
        </w:trPr>
        <w:tc>
          <w:tcPr>
            <w:tcW w:w="61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19"/>
              <w:spacing w:after="0" w:line="158"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359"/>
              <w:spacing w:after="0" w:line="158" w:lineRule="exact"/>
              <w:rPr>
                <w:sz w:val="20"/>
                <w:szCs w:val="20"/>
                <w:color w:val="auto"/>
              </w:rPr>
            </w:pPr>
            <w:r>
              <w:rPr>
                <w:rFonts w:ascii="Arial" w:cs="Arial" w:eastAsia="Arial" w:hAnsi="Arial"/>
                <w:sz w:val="14"/>
                <w:szCs w:val="14"/>
                <w:b w:val="1"/>
                <w:bCs w:val="1"/>
                <w:color w:val="auto"/>
              </w:rPr>
              <w:t>2019</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6.47</w:t>
            </w:r>
          </w:p>
        </w:tc>
      </w:tr>
      <w:tr>
        <w:trPr>
          <w:trHeight w:val="24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13.55 %</w:t>
            </w:r>
          </w:p>
        </w:tc>
        <w:tc>
          <w:tcPr>
            <w:tcW w:w="1200" w:type="dxa"/>
            <w:vAlign w:val="bottom"/>
          </w:tcPr>
          <w:p>
            <w:pPr>
              <w:jc w:val="right"/>
              <w:spacing w:after="0"/>
              <w:rPr>
                <w:sz w:val="20"/>
                <w:szCs w:val="20"/>
                <w:color w:val="auto"/>
              </w:rPr>
            </w:pPr>
            <w:r>
              <w:rPr>
                <w:rFonts w:ascii="Arial" w:cs="Arial" w:eastAsia="Arial" w:hAnsi="Arial"/>
                <w:sz w:val="18"/>
                <w:szCs w:val="18"/>
                <w:color w:val="auto"/>
              </w:rPr>
              <w:t>13.55 %</w:t>
            </w:r>
          </w:p>
        </w:tc>
      </w:tr>
    </w:tbl>
    <w:p>
      <w:pPr>
        <w:spacing w:after="0" w:line="200" w:lineRule="exact"/>
        <w:rPr>
          <w:sz w:val="20"/>
          <w:szCs w:val="20"/>
          <w:color w:val="auto"/>
        </w:rPr>
      </w:pPr>
    </w:p>
    <w:p>
      <w:pPr>
        <w:spacing w:after="0" w:line="204" w:lineRule="exact"/>
        <w:rPr>
          <w:sz w:val="20"/>
          <w:szCs w:val="20"/>
          <w:color w:val="auto"/>
        </w:rPr>
      </w:pPr>
    </w:p>
    <w:p>
      <w:pPr>
        <w:ind w:left="60" w:right="219" w:firstLine="441"/>
        <w:spacing w:after="0" w:line="277" w:lineRule="auto"/>
        <w:rPr>
          <w:sz w:val="20"/>
          <w:szCs w:val="20"/>
          <w:color w:val="auto"/>
        </w:rPr>
      </w:pPr>
      <w:r>
        <w:rPr>
          <w:rFonts w:ascii="Arial" w:cs="Arial" w:eastAsia="Arial" w:hAnsi="Arial"/>
          <w:sz w:val="18"/>
          <w:szCs w:val="18"/>
          <w:color w:val="auto"/>
        </w:rPr>
        <w:t>Supplemental disclosure of cash flow information related to the Company’s operating leases included in cash flows provided by operating activities in its consolidated statements of cash flows is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For the</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Year Ended</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8"/>
        </w:trPr>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58"/>
        </w:trPr>
        <w:tc>
          <w:tcPr>
            <w:tcW w:w="63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4"/>
              <w:spacing w:after="0" w:line="158"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Income Taxes</w:t>
      </w:r>
    </w:p>
    <w:p>
      <w:pPr>
        <w:spacing w:after="0" w:line="229" w:lineRule="exact"/>
        <w:rPr>
          <w:sz w:val="20"/>
          <w:szCs w:val="20"/>
          <w:color w:val="auto"/>
        </w:rPr>
      </w:pPr>
    </w:p>
    <w:p>
      <w:pPr>
        <w:jc w:val="both"/>
        <w:ind w:left="60" w:right="499" w:firstLine="441"/>
        <w:spacing w:after="0" w:line="263" w:lineRule="auto"/>
        <w:rPr>
          <w:sz w:val="20"/>
          <w:szCs w:val="20"/>
          <w:color w:val="auto"/>
        </w:rPr>
      </w:pPr>
      <w:r>
        <w:rPr>
          <w:rFonts w:ascii="Arial" w:cs="Arial" w:eastAsia="Arial" w:hAnsi="Arial"/>
          <w:sz w:val="18"/>
          <w:szCs w:val="18"/>
          <w:color w:val="auto"/>
        </w:rPr>
        <w:t>During the years ended December 31, 2020 and 2019, the Company recorded no income tax benefits for the net operating losses incurred or the research and development tax credits generated in each year, due to its uncertainty of realizing a benefit from those items.</w:t>
      </w:r>
    </w:p>
    <w:p>
      <w:pPr>
        <w:spacing w:after="0" w:line="184" w:lineRule="exact"/>
        <w:rPr>
          <w:sz w:val="20"/>
          <w:szCs w:val="20"/>
          <w:color w:val="auto"/>
        </w:rPr>
      </w:pPr>
    </w:p>
    <w:p>
      <w:pPr>
        <w:ind w:left="60" w:right="659" w:firstLine="441"/>
        <w:spacing w:after="0" w:line="277" w:lineRule="auto"/>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20" w:type="dxa"/>
            <w:vAlign w:val="bottom"/>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Research and development tax credits</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taxes, net of federal benefit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liability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the valuation allowance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CEEFF"/>
          </w:tcPr>
          <w:p>
            <w:pPr>
              <w:spacing w:after="0"/>
              <w:rPr>
                <w:sz w:val="18"/>
                <w:szCs w:val="18"/>
                <w:color w:val="auto"/>
              </w:rPr>
            </w:pPr>
          </w:p>
        </w:tc>
      </w:tr>
      <w:tr>
        <w:trPr>
          <w:trHeight w:val="210"/>
        </w:trPr>
        <w:tc>
          <w:tcPr>
            <w:tcW w:w="538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Changes in the valuation of the derivative liability do not provide a future tax benefit. To the extent the deferred tax asset related to the derivative liability exceeds the deferred tax liability related to the 2026 Convertible Notes, the excess is recorded as a permanent item.</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9" w:name="page190"/>
    <w:bookmarkEnd w:id="1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deferred tax assets consisted of the following:</w:t>
      </w:r>
    </w:p>
    <w:p>
      <w:pPr>
        <w:spacing w:after="0" w:line="24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Net operating loss carryforwards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90,797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70,317</w:t>
            </w:r>
          </w:p>
        </w:tc>
      </w:tr>
      <w:tr>
        <w:trPr>
          <w:trHeight w:val="229"/>
        </w:trPr>
        <w:tc>
          <w:tcPr>
            <w:tcW w:w="20" w:type="dxa"/>
            <w:vAlign w:val="bottom"/>
          </w:tcPr>
          <w:p>
            <w:pPr>
              <w:spacing w:after="0"/>
              <w:rPr>
                <w:sz w:val="19"/>
                <w:szCs w:val="19"/>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credit carryforwards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11,966</w:t>
            </w:r>
          </w:p>
        </w:tc>
      </w:tr>
      <w:tr>
        <w:trPr>
          <w:trHeight w:val="229"/>
        </w:trPr>
        <w:tc>
          <w:tcPr>
            <w:tcW w:w="20" w:type="dxa"/>
            <w:vAlign w:val="bottom"/>
          </w:tcPr>
          <w:p>
            <w:pPr>
              <w:spacing w:after="0"/>
              <w:rPr>
                <w:sz w:val="19"/>
                <w:szCs w:val="19"/>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Capitalized start-up costs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20" w:type="dxa"/>
            <w:vAlign w:val="bottom"/>
          </w:tcPr>
          <w:p>
            <w:pPr>
              <w:spacing w:after="0"/>
              <w:rPr>
                <w:sz w:val="19"/>
                <w:szCs w:val="19"/>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Capitalized research and development expenses, net</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14,521</w:t>
            </w:r>
          </w:p>
        </w:tc>
      </w:tr>
      <w:tr>
        <w:trPr>
          <w:trHeight w:val="229"/>
        </w:trPr>
        <w:tc>
          <w:tcPr>
            <w:tcW w:w="20" w:type="dxa"/>
            <w:vAlign w:val="bottom"/>
          </w:tcPr>
          <w:p>
            <w:pPr>
              <w:spacing w:after="0"/>
              <w:rPr>
                <w:sz w:val="19"/>
                <w:szCs w:val="19"/>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2,505</w:t>
            </w:r>
          </w:p>
        </w:tc>
      </w:tr>
      <w:tr>
        <w:trPr>
          <w:trHeight w:val="229"/>
        </w:trPr>
        <w:tc>
          <w:tcPr>
            <w:tcW w:w="20" w:type="dxa"/>
            <w:vAlign w:val="bottom"/>
          </w:tcPr>
          <w:p>
            <w:pPr>
              <w:spacing w:after="0"/>
              <w:rPr>
                <w:sz w:val="19"/>
                <w:szCs w:val="19"/>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Derivative liability</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r>
      <w:tr>
        <w:trPr>
          <w:trHeight w:val="230"/>
        </w:trPr>
        <w:tc>
          <w:tcPr>
            <w:tcW w:w="20" w:type="dxa"/>
            <w:vAlign w:val="bottom"/>
          </w:tcPr>
          <w:p>
            <w:pPr>
              <w:spacing w:after="0"/>
              <w:rPr>
                <w:sz w:val="19"/>
                <w:szCs w:val="19"/>
                <w:color w:val="auto"/>
              </w:rPr>
            </w:pPr>
          </w:p>
        </w:tc>
        <w:tc>
          <w:tcPr>
            <w:tcW w:w="4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Accrued expenses and other</w:t>
            </w: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w:t>
            </w: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tax assets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110,019</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(123,020)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(105,062)</w:t>
            </w:r>
          </w:p>
        </w:tc>
      </w:tr>
      <w:tr>
        <w:trPr>
          <w:trHeight w:val="223"/>
        </w:trPr>
        <w:tc>
          <w:tcPr>
            <w:tcW w:w="20" w:type="dxa"/>
            <w:vAlign w:val="bottom"/>
          </w:tcPr>
          <w:p>
            <w:pPr>
              <w:spacing w:after="0"/>
              <w:rPr>
                <w:sz w:val="19"/>
                <w:szCs w:val="19"/>
                <w:color w:val="auto"/>
              </w:rPr>
            </w:pPr>
          </w:p>
        </w:tc>
        <w:tc>
          <w:tcPr>
            <w:tcW w:w="45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deferred tax assets</w:t>
            </w:r>
          </w:p>
        </w:tc>
        <w:tc>
          <w:tcPr>
            <w:tcW w:w="7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r>
      <w:tr>
        <w:trPr>
          <w:trHeight w:val="230"/>
        </w:trPr>
        <w:tc>
          <w:tcPr>
            <w:tcW w:w="456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Operating lease right of use assets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(1,662)</w:t>
            </w:r>
          </w:p>
        </w:tc>
      </w:tr>
      <w:tr>
        <w:trPr>
          <w:trHeight w:val="230"/>
        </w:trPr>
        <w:tc>
          <w:tcPr>
            <w:tcW w:w="20" w:type="dxa"/>
            <w:vAlign w:val="bottom"/>
          </w:tcPr>
          <w:p>
            <w:pPr>
              <w:spacing w:after="0"/>
              <w:rPr>
                <w:sz w:val="19"/>
                <w:szCs w:val="19"/>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2026 Convertible Notes</w:t>
            </w:r>
          </w:p>
        </w:tc>
        <w:tc>
          <w:tcPr>
            <w:tcW w:w="7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deferred tax liabilities</w:t>
            </w: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w:t>
            </w: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deferred tax assets</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441"/>
        <w:spacing w:after="0" w:line="286" w:lineRule="auto"/>
        <w:rPr>
          <w:sz w:val="20"/>
          <w:szCs w:val="20"/>
          <w:color w:val="auto"/>
        </w:rPr>
      </w:pPr>
      <w:r>
        <w:rPr>
          <w:rFonts w:ascii="Arial" w:cs="Arial" w:eastAsia="Arial" w:hAnsi="Arial"/>
          <w:sz w:val="17"/>
          <w:szCs w:val="17"/>
          <w:color w:val="auto"/>
        </w:rPr>
        <w:t>Changes in the valuation allowance for deferred tax assets during the years ended December 31, 2020 and 2019 related primarily to the increase in net operating loss carryforwards, amortization of capitalized research and development expenses, and increase in research and development tax credit carryforwards were as follows: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as of beginning of year</w:t>
            </w: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$ 105,062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84,343</w:t>
            </w: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Increases recorded to income tax provision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17,958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20,719</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 as of end of year</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$ 123,020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105,062</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441"/>
        <w:spacing w:after="0" w:line="284" w:lineRule="auto"/>
        <w:rPr>
          <w:sz w:val="20"/>
          <w:szCs w:val="20"/>
          <w:color w:val="auto"/>
        </w:rPr>
      </w:pPr>
      <w:r>
        <w:rPr>
          <w:rFonts w:ascii="Arial" w:cs="Arial" w:eastAsia="Arial" w:hAnsi="Arial"/>
          <w:sz w:val="16"/>
          <w:szCs w:val="16"/>
          <w:color w:val="auto"/>
        </w:rPr>
        <w:t>As of December 31, 2020, the Company had net operating loss (“NOL”) carryforwards for federal and state income tax purposes of $354,745 and $274,939, respectively. The federal and state NOLs generated for annual periods prior to January 1, 2018 begin to expire in 2026. The Company’s federal NOLs generated for the years ended since December 31, 2018, which amounted to a total of $229,113, can be carried forward indefinitely. As of December 31, 2020, the Company also had available research and development tax credit carryforwards for federal and state income tax purposes of $9,226 and $4,988, respectively, which begin to expire in 2026 and 2025, respectively. Utilization of the NOL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NOL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NOL carryforwards or research and development tax credit carryforwards before utilization. Further, until a study is completed and any limitation is known, no amounts are being presented as an uncertain tax position.</w:t>
      </w:r>
    </w:p>
    <w:p>
      <w:pPr>
        <w:spacing w:after="0" w:line="182" w:lineRule="exact"/>
        <w:rPr>
          <w:sz w:val="20"/>
          <w:szCs w:val="20"/>
          <w:color w:val="auto"/>
        </w:rPr>
      </w:pPr>
    </w:p>
    <w:p>
      <w:pPr>
        <w:ind w:left="60" w:right="359" w:firstLine="441"/>
        <w:spacing w:after="0" w:line="342"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Management considered the Company’s cumulative net losses and concluded that it is more likely than not that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0" w:name="page191"/>
    <w:bookmarkEnd w:id="1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Company would not realize the benefits of the deferred tax assets. Accordingly, a full valuation allowance was established against the net deferred tax assets as of December 31, 2020 and 2019.</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has not recorded any amounts for unrecognized tax benefits as of December 31, 2020 or 2019.</w:t>
      </w:r>
    </w:p>
    <w:p>
      <w:pPr>
        <w:spacing w:after="0" w:line="237" w:lineRule="exact"/>
        <w:rPr>
          <w:sz w:val="20"/>
          <w:szCs w:val="20"/>
          <w:color w:val="auto"/>
        </w:rPr>
      </w:pPr>
    </w:p>
    <w:p>
      <w:pPr>
        <w:ind w:left="60" w:right="99" w:firstLine="441"/>
        <w:spacing w:after="0" w:line="291" w:lineRule="auto"/>
        <w:rPr>
          <w:sz w:val="20"/>
          <w:szCs w:val="20"/>
          <w:color w:val="auto"/>
        </w:rPr>
      </w:pPr>
      <w:r>
        <w:rPr>
          <w:rFonts w:ascii="Arial" w:cs="Arial" w:eastAsia="Arial" w:hAnsi="Arial"/>
          <w:sz w:val="16"/>
          <w:szCs w:val="16"/>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December 31, 2016 to the present. Earlier years may be examined to the extent that tax credit or net operating loss carryforwards are used in future periods. The Company’s policy is to record interest and penalties related to income taxes as part of its income tax provision. As of December 31, 2020 and 2019, the Company had no accrued interest or penalties related to uncertain tax positions and no amounts have been recognized in the Company’s statements of operations and comprehensive loss.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401(k) Savings Plan</w:t>
      </w:r>
    </w:p>
    <w:p>
      <w:pPr>
        <w:spacing w:after="0" w:line="229" w:lineRule="exact"/>
        <w:rPr>
          <w:sz w:val="20"/>
          <w:szCs w:val="20"/>
          <w:color w:val="auto"/>
        </w:rPr>
      </w:pPr>
    </w:p>
    <w:p>
      <w:pPr>
        <w:ind w:left="60" w:right="259" w:firstLine="441"/>
        <w:spacing w:after="0" w:line="257" w:lineRule="auto"/>
        <w:rPr>
          <w:sz w:val="20"/>
          <w:szCs w:val="20"/>
          <w:color w:val="auto"/>
        </w:rPr>
      </w:pPr>
      <w:r>
        <w:rPr>
          <w:rFonts w:ascii="Arial" w:cs="Arial" w:eastAsia="Arial" w:hAnsi="Arial"/>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Company contributions to the plan may be made at the discretion of the board of directors. Through December 31, 2020, no contributions have been made to the plan by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Related Party Transactions</w:t>
      </w:r>
    </w:p>
    <w:p>
      <w:pPr>
        <w:spacing w:after="0" w:line="229" w:lineRule="exact"/>
        <w:rPr>
          <w:sz w:val="20"/>
          <w:szCs w:val="20"/>
          <w:color w:val="auto"/>
        </w:rPr>
      </w:pPr>
    </w:p>
    <w:p>
      <w:pPr>
        <w:jc w:val="both"/>
        <w:ind w:left="60" w:right="159" w:firstLine="441"/>
        <w:spacing w:after="0" w:line="287" w:lineRule="auto"/>
        <w:rPr>
          <w:sz w:val="20"/>
          <w:szCs w:val="20"/>
          <w:color w:val="auto"/>
        </w:rPr>
      </w:pPr>
      <w:r>
        <w:rPr>
          <w:rFonts w:ascii="Arial" w:cs="Arial" w:eastAsia="Arial" w:hAnsi="Arial"/>
          <w:sz w:val="16"/>
          <w:szCs w:val="16"/>
          <w:color w:val="auto"/>
        </w:rPr>
        <w:t>Since October 2017, the Company has engaged McCarter English LLP (“McCarter”) to provide legal services to the Company, including with respect to intellectual property matters. Mr. Jonathan M. Sparks, Ph.D., a partner at McCarter &amp; English, has also served in the capacity as the Company’s in-house counsel from October 2017 through August 31, 2020.</w:t>
      </w:r>
    </w:p>
    <w:p>
      <w:pPr>
        <w:spacing w:after="0" w:line="2" w:lineRule="exact"/>
        <w:rPr>
          <w:sz w:val="20"/>
          <w:szCs w:val="20"/>
          <w:color w:val="auto"/>
        </w:rPr>
      </w:pPr>
    </w:p>
    <w:p>
      <w:pPr>
        <w:jc w:val="both"/>
        <w:ind w:left="60" w:right="59"/>
        <w:spacing w:after="0" w:line="302" w:lineRule="auto"/>
        <w:rPr>
          <w:sz w:val="20"/>
          <w:szCs w:val="20"/>
          <w:color w:val="auto"/>
        </w:rPr>
      </w:pPr>
      <w:r>
        <w:rPr>
          <w:rFonts w:ascii="Arial" w:cs="Arial" w:eastAsia="Arial" w:hAnsi="Arial"/>
          <w:sz w:val="16"/>
          <w:szCs w:val="16"/>
          <w:color w:val="auto"/>
        </w:rPr>
        <w:t>The Company incurred fees for legal services rendered by McCarter of $766 and $1,119 for the years ended December 31, 2020 and 2019, respectively. As of December 31, 2020 and 2019, there was $47 and $107 recorded in accounts payable for McCarter. As of December 31, 2020 and 2019, there was $0 and $242 recorded in accrued expenses for McCarter.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Restructuring and Other Costs</w:t>
      </w:r>
    </w:p>
    <w:p>
      <w:pPr>
        <w:spacing w:after="0" w:line="229" w:lineRule="exact"/>
        <w:rPr>
          <w:sz w:val="20"/>
          <w:szCs w:val="20"/>
          <w:color w:val="auto"/>
        </w:rPr>
      </w:pPr>
    </w:p>
    <w:p>
      <w:pPr>
        <w:ind w:left="60" w:right="79" w:firstLine="441"/>
        <w:spacing w:after="0" w:line="257" w:lineRule="auto"/>
        <w:rPr>
          <w:sz w:val="20"/>
          <w:szCs w:val="20"/>
          <w:color w:val="auto"/>
        </w:rPr>
      </w:pPr>
      <w:r>
        <w:rPr>
          <w:rFonts w:ascii="Arial" w:cs="Arial" w:eastAsia="Arial" w:hAnsi="Arial"/>
          <w:sz w:val="18"/>
          <w:szCs w:val="18"/>
          <w:color w:val="auto"/>
        </w:rPr>
        <w:t>On November 6, 2019, the Board of Directors approved an operational restructuring to eliminate a portion of the Company’s workforce to reduce expenses. As part of this operational restructuring, the Company reduced headcount by approximately 22%. The Company completed the restructuring in the fourth quarter of 2019 and recorded total restructuring costs of approximately $554 in total costs and operating expenses in the consolidated statements of operations and comprehensive loss, all of which was paid.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Subsequent Events</w:t>
      </w:r>
    </w:p>
    <w:p>
      <w:pPr>
        <w:spacing w:after="0" w:line="229" w:lineRule="exact"/>
        <w:rPr>
          <w:sz w:val="20"/>
          <w:szCs w:val="20"/>
          <w:color w:val="auto"/>
        </w:rPr>
      </w:pPr>
    </w:p>
    <w:p>
      <w:pPr>
        <w:ind w:left="60" w:right="79" w:firstLine="441"/>
        <w:spacing w:after="0" w:line="296" w:lineRule="auto"/>
        <w:rPr>
          <w:sz w:val="20"/>
          <w:szCs w:val="20"/>
          <w:color w:val="auto"/>
        </w:rPr>
      </w:pPr>
      <w:r>
        <w:rPr>
          <w:rFonts w:ascii="Arial" w:cs="Arial" w:eastAsia="Arial" w:hAnsi="Arial"/>
          <w:sz w:val="16"/>
          <w:szCs w:val="16"/>
          <w:color w:val="auto"/>
        </w:rPr>
        <w:t>The number of shares of common stock that may be issued under the 2014 Plan is subject to increase on the first day of each fiscal year, beginning on January 1, 2015 and ending on December 31, 2024, equal to the least of 1,659,218 shares of the Company’s common stock, 4% of the number of shares of the Company’s common stock outstanding on the first day of the applicable fiscal year, and an amount determined by the Company’s board of directors. On January 1, 2021, the number of shares available for issuance under the 2014 Plan increased by 1,659,218.</w:t>
      </w:r>
    </w:p>
    <w:p>
      <w:pPr>
        <w:spacing w:after="0" w:line="161" w:lineRule="exact"/>
        <w:rPr>
          <w:sz w:val="20"/>
          <w:szCs w:val="20"/>
          <w:color w:val="auto"/>
        </w:rPr>
      </w:pPr>
    </w:p>
    <w:p>
      <w:pPr>
        <w:ind w:left="60" w:right="119" w:firstLine="441"/>
        <w:spacing w:after="0" w:line="296" w:lineRule="auto"/>
        <w:rPr>
          <w:sz w:val="20"/>
          <w:szCs w:val="20"/>
          <w:color w:val="auto"/>
        </w:rPr>
      </w:pPr>
      <w:r>
        <w:rPr>
          <w:rFonts w:ascii="Arial" w:cs="Arial" w:eastAsia="Arial" w:hAnsi="Arial"/>
          <w:sz w:val="16"/>
          <w:szCs w:val="16"/>
          <w:color w:val="auto"/>
        </w:rPr>
        <w:t>The number of shares of common stock that may be issued under the ESPP will automatically increase on the first day of each fiscal year, commencing on January 1, 2015 and ending on December 31, 2024, in an amount equal to the least of 207,402 shares of the Company’s common stock, 0.5% of the number of shares of the Company’s common stock outstanding on the first day of the applicable fiscal year, and an amount determined by the Company’s board of directors. On January 1, 2021, the number of shares available for issuance under the ESPP increased by 207,402.</w:t>
      </w:r>
    </w:p>
    <w:p>
      <w:pPr>
        <w:spacing w:after="0" w:line="161" w:lineRule="exact"/>
        <w:rPr>
          <w:sz w:val="20"/>
          <w:szCs w:val="20"/>
          <w:color w:val="auto"/>
        </w:rPr>
      </w:pPr>
    </w:p>
    <w:p>
      <w:pPr>
        <w:ind w:left="60" w:right="399" w:firstLine="441"/>
        <w:spacing w:after="0" w:line="277" w:lineRule="auto"/>
        <w:rPr>
          <w:sz w:val="20"/>
          <w:szCs w:val="20"/>
          <w:color w:val="auto"/>
        </w:rPr>
      </w:pPr>
      <w:r>
        <w:rPr>
          <w:rFonts w:ascii="Arial" w:cs="Arial" w:eastAsia="Arial" w:hAnsi="Arial"/>
          <w:sz w:val="18"/>
          <w:szCs w:val="18"/>
          <w:color w:val="auto"/>
        </w:rPr>
        <w:t>On January 29, 2021, warrants covering 18,939 shares were exercised via net share settlement, and the Company issued 11,737 shares of common stock as a result of the exercise.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1" w:name="page192"/>
    <w:bookmarkEnd w:id="1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41"/>
        <w:spacing w:after="0" w:line="269" w:lineRule="auto"/>
        <w:rPr>
          <w:sz w:val="20"/>
          <w:szCs w:val="20"/>
          <w:color w:val="auto"/>
        </w:rPr>
      </w:pPr>
      <w:r>
        <w:rPr>
          <w:rFonts w:ascii="Arial" w:cs="Arial" w:eastAsia="Arial" w:hAnsi="Arial"/>
          <w:sz w:val="17"/>
          <w:szCs w:val="17"/>
          <w:color w:val="auto"/>
        </w:rPr>
        <w:t>On February 1, 2021, the Company issued to the Senior Vice President, Clinical Development, a non-statutory stock option to purchase an aggregate of 100,000 shares of its common stock at an exercise price of $18.70 per share subject to a time-based vesting and a non-statutory stock option to purchase 50,000 shares of its common stock at an exercise price of $18.70 per share subject to performance-based vesting. The stock option was issued under the Company’s 2019 Inducement Plan as an inducement material to such individual’s acceptance of an offer of employment with the Company in accordance with Nasdaq Listing Rule 5635(c)(4). Subject to her continued service to the Company, the time-based stock option will vest over a four-year period, with 25% of the shares underlying the option award vesting on the one-year anniversary of the grant date and the remaining 75% of the shares underlying the award vesting monthly thereafter. The performance-based stock option vests and becomes exercisable in whole or in part if the Company achieves specified milestones, subject to continued service to the Company through the applicable vesting dates. The stock options are subject to the terms and conditions of stock option agreements covering the grant and the Company’s 2019 Inducement Plan, as amended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b w:val="1"/>
          <w:bCs w:val="1"/>
          <w:color w:val="auto"/>
        </w:rPr>
        <w:t>Exhibit 10.9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OCULAR THERAPEUTIX,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2019 Inducement Stock Incentive Plan</w:t>
      </w:r>
    </w:p>
    <w:p>
      <w:pPr>
        <w:spacing w:after="0" w:line="233"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color w:val="auto"/>
        </w:rPr>
        <w:t>Ocular Therapeutix, Inc’s 2019 Inducement Stock Incentive Plan (the “</w:t>
      </w:r>
      <w:r>
        <w:rPr>
          <w:rFonts w:ascii="Arial" w:cs="Arial" w:eastAsia="Arial" w:hAnsi="Arial"/>
          <w:sz w:val="22"/>
          <w:szCs w:val="22"/>
          <w:b w:val="1"/>
          <w:bCs w:val="1"/>
          <w:color w:val="auto"/>
        </w:rPr>
        <w:t>Plan</w:t>
      </w:r>
      <w:r>
        <w:rPr>
          <w:rFonts w:ascii="Arial" w:cs="Arial" w:eastAsia="Arial" w:hAnsi="Arial"/>
          <w:sz w:val="22"/>
          <w:szCs w:val="22"/>
          <w:color w:val="auto"/>
        </w:rPr>
        <w:t>”), pursuant to Section 11(d) thereof, is hereby amended as set forth below.</w:t>
      </w:r>
    </w:p>
    <w:p>
      <w:pPr>
        <w:spacing w:after="0" w:line="195" w:lineRule="exact"/>
        <w:rPr>
          <w:sz w:val="20"/>
          <w:szCs w:val="20"/>
          <w:color w:val="auto"/>
        </w:rPr>
      </w:pPr>
    </w:p>
    <w:p>
      <w:pPr>
        <w:ind w:right="700"/>
        <w:spacing w:after="0" w:line="250" w:lineRule="auto"/>
        <w:rPr>
          <w:sz w:val="20"/>
          <w:szCs w:val="20"/>
          <w:color w:val="auto"/>
        </w:rPr>
      </w:pPr>
      <w:r>
        <w:rPr>
          <w:rFonts w:ascii="Arial" w:cs="Arial" w:eastAsia="Arial" w:hAnsi="Arial"/>
          <w:sz w:val="22"/>
          <w:szCs w:val="22"/>
          <w:color w:val="auto"/>
        </w:rPr>
        <w:t>The first sentence of Section 4(a) of the Plan be, and hereby is, deleted in its entirety and replaced with the following in lieu thereof:</w:t>
      </w:r>
    </w:p>
    <w:p>
      <w:pPr>
        <w:spacing w:after="0" w:line="175" w:lineRule="exact"/>
        <w:rPr>
          <w:sz w:val="20"/>
          <w:szCs w:val="20"/>
          <w:color w:val="auto"/>
        </w:rPr>
      </w:pPr>
    </w:p>
    <w:p>
      <w:pPr>
        <w:ind w:right="720"/>
        <w:spacing w:after="0" w:line="274" w:lineRule="auto"/>
        <w:rPr>
          <w:sz w:val="20"/>
          <w:szCs w:val="20"/>
          <w:color w:val="auto"/>
        </w:rPr>
      </w:pPr>
      <w:r>
        <w:rPr>
          <w:rFonts w:ascii="Arial" w:cs="Arial" w:eastAsia="Arial" w:hAnsi="Arial"/>
          <w:sz w:val="21"/>
          <w:szCs w:val="21"/>
          <w:color w:val="auto"/>
        </w:rPr>
        <w:t>“Subject to adjustment under Section 9, Awards may be made under the Plan for up to 1,054,000 shares of common stock, $0.0001 par value per share, of the Company (the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Adopted by the Board of Directors: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b w:val="1"/>
          <w:bCs w:val="1"/>
          <w:color w:val="auto"/>
        </w:rPr>
        <w:t>Exhibit 10.19</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Copy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ind w:right="120" w:firstLine="648"/>
        <w:spacing w:after="0" w:line="248" w:lineRule="auto"/>
        <w:rPr>
          <w:sz w:val="20"/>
          <w:szCs w:val="20"/>
          <w:color w:val="auto"/>
        </w:rPr>
      </w:pPr>
      <w:r>
        <w:rPr>
          <w:rFonts w:ascii="Arial" w:cs="Arial" w:eastAsia="Arial" w:hAnsi="Arial"/>
          <w:sz w:val="21"/>
          <w:szCs w:val="21"/>
          <w:color w:val="auto"/>
        </w:rPr>
        <w:t>This EMPLOYMENT AGREEMENT (the “Agreement”) is made on August 28, 2020, by and between Ocular Therapeutix, Inc., a Delaware corporation (the “Company”), and Philip C. Strassburger (“Executive”) and the employment relationship between the Company and the Executive shall be governed by this Agreement commencing as of the Effective Date (as defined below) and continuing in effect until terminated by either party in accordance with this Agreement. In consideration of the mutual covenants contained in this Agreement, the Company and Executive agree as follows:</w:t>
      </w:r>
    </w:p>
    <w:p>
      <w:pPr>
        <w:spacing w:after="0" w:line="177" w:lineRule="exact"/>
        <w:rPr>
          <w:sz w:val="20"/>
          <w:szCs w:val="20"/>
          <w:color w:val="auto"/>
        </w:rPr>
      </w:pPr>
    </w:p>
    <w:p>
      <w:pPr>
        <w:ind w:right="120" w:firstLine="656"/>
        <w:spacing w:after="0" w:line="250" w:lineRule="auto"/>
        <w:tabs>
          <w:tab w:leader="none" w:pos="129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The Company agrees to employ Executive and Executive agrees to be employed by the Company on the terms and conditions set forth in this Agreement.</w:t>
      </w:r>
    </w:p>
    <w:p>
      <w:pPr>
        <w:spacing w:after="0" w:line="174" w:lineRule="exact"/>
        <w:rPr>
          <w:rFonts w:ascii="Arial" w:cs="Arial" w:eastAsia="Arial" w:hAnsi="Arial"/>
          <w:sz w:val="22"/>
          <w:szCs w:val="22"/>
          <w:color w:val="auto"/>
        </w:rPr>
      </w:pPr>
    </w:p>
    <w:p>
      <w:pPr>
        <w:ind w:right="260" w:firstLine="1304"/>
        <w:spacing w:after="0" w:line="275" w:lineRule="auto"/>
        <w:tabs>
          <w:tab w:leader="none" w:pos="1944"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Capacity</w:t>
      </w:r>
      <w:r>
        <w:rPr>
          <w:rFonts w:ascii="Arial" w:cs="Arial" w:eastAsia="Arial" w:hAnsi="Arial"/>
          <w:sz w:val="19"/>
          <w:szCs w:val="19"/>
          <w:color w:val="auto"/>
        </w:rPr>
        <w:t>. Executive shall serve the Company as General Counsel, reporting to the Company’s Chief Executive Officer (the “CEO”). During the Term (as defined below) of Executive’s employment with the Company, Executive shall, subject to the direction of the CEO, have the responsibilities, duties and authority commensurate with the position of General Counsel and shall perform such other duties as may from time to time be assigned to him by the CEO that are consistent with his position as General Counsel. The Company may change Executive’s position, duties, and work location as it deems necessary, provided such changes are commensurate with a General Counsel position at similar companies and do not otherwise amount (either singly or in the aggregate) to a “Good Reason” event as defined in Section 3(c).</w:t>
      </w:r>
    </w:p>
    <w:p>
      <w:pPr>
        <w:spacing w:after="0" w:line="157" w:lineRule="exact"/>
        <w:rPr>
          <w:rFonts w:ascii="Arial" w:cs="Arial" w:eastAsia="Arial" w:hAnsi="Arial"/>
          <w:sz w:val="19"/>
          <w:szCs w:val="19"/>
          <w:color w:val="auto"/>
        </w:rPr>
      </w:pPr>
    </w:p>
    <w:p>
      <w:pPr>
        <w:ind w:right="40" w:firstLine="1304"/>
        <w:spacing w:after="0" w:line="271" w:lineRule="auto"/>
        <w:tabs>
          <w:tab w:leader="none" w:pos="1944"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Devotion of Duties; Representations</w:t>
      </w:r>
      <w:r>
        <w:rPr>
          <w:rFonts w:ascii="Arial" w:cs="Arial" w:eastAsia="Arial" w:hAnsi="Arial"/>
          <w:sz w:val="19"/>
          <w:szCs w:val="19"/>
          <w:color w:val="auto"/>
        </w:rPr>
        <w:t>. During the Term of Executive’s employment with the Company, Executive shall devote 100% of his best efforts and full business time and energies to the business and affairs of the Company and shall endeavor to perform the duties and services contemplated hereunder to the reasonable satisfaction of the Company. During the Term of Executive’s employment with the Company, Executive shall not, without the prior written approval of the Company (by action of the Company’s Board of Directors (the “Board”)), undertake any other employment from any person or entity or serve as a director of any other company; provided, however, that (i) Executive shall be permitted to provide cooperation and assistance reasonably requested by his prior employer and continue his advisory board membership with Accencio, (ii) the Company will entertain requests as to such other employment or directorships in good faith and (iii) Executive will be eligible to participate in any policy relating to outside activities that is applicable to the senior executives of the Company and approved by the Board after the date hereof, and provided further that in no event may any business activity be undertaken if it would (x) be in violation of any provision of this Agreement or other agreement between Executive and the Company, (y) interfere with the performance of Executive’s duties for the Company, or (z) present a conflict of interest with the Company’s business interests.</w:t>
      </w:r>
    </w:p>
    <w:p>
      <w:pPr>
        <w:spacing w:after="0" w:line="164" w:lineRule="exact"/>
        <w:rPr>
          <w:rFonts w:ascii="Arial" w:cs="Arial" w:eastAsia="Arial" w:hAnsi="Arial"/>
          <w:sz w:val="19"/>
          <w:szCs w:val="19"/>
          <w:color w:val="auto"/>
        </w:rPr>
      </w:pPr>
    </w:p>
    <w:p>
      <w:pPr>
        <w:ind w:left="1300" w:hanging="644"/>
        <w:spacing w:after="0"/>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Term of Employment.</w:t>
      </w:r>
    </w:p>
    <w:p>
      <w:pPr>
        <w:spacing w:after="0" w:line="206" w:lineRule="exact"/>
        <w:rPr>
          <w:rFonts w:ascii="Arial" w:cs="Arial" w:eastAsia="Arial" w:hAnsi="Arial"/>
          <w:sz w:val="22"/>
          <w:szCs w:val="22"/>
          <w:color w:val="auto"/>
        </w:rPr>
      </w:pPr>
    </w:p>
    <w:p>
      <w:pPr>
        <w:ind w:right="220" w:firstLine="1304"/>
        <w:spacing w:after="0"/>
        <w:tabs>
          <w:tab w:leader="none" w:pos="1944" w:val="left"/>
        </w:tabs>
        <w:numPr>
          <w:ilvl w:val="1"/>
          <w:numId w:val="84"/>
        </w:numPr>
        <w:rPr>
          <w:rFonts w:ascii="Arial" w:cs="Arial" w:eastAsia="Arial" w:hAnsi="Arial"/>
          <w:sz w:val="22"/>
          <w:szCs w:val="22"/>
          <w:color w:val="auto"/>
        </w:rPr>
      </w:pPr>
      <w:r>
        <w:rPr>
          <w:rFonts w:ascii="Arial" w:cs="Arial" w:eastAsia="Arial" w:hAnsi="Arial"/>
          <w:sz w:val="22"/>
          <w:szCs w:val="22"/>
          <w:color w:val="auto"/>
        </w:rPr>
        <w:t>Executive’s employment hereunder shall begin on the first business day following his last day of employment with his prior employer (the “Effective Date”), which is expected to be on or before September 15, 2020 and shall be no later than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22"/>
          <w:szCs w:val="22"/>
          <w:color w:val="auto"/>
        </w:rPr>
        <w:t>-2-</w:t>
      </w:r>
    </w:p>
    <w:p>
      <w:pPr>
        <w:spacing w:after="0" w:line="382"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For the avoidance of doubt, if this Agreement does not become effective by September 30, 2020, it shall be null and void. Executive’s employment hereunder shall be terminated upon the first to occur of the following:</w:t>
      </w:r>
    </w:p>
    <w:p>
      <w:pPr>
        <w:spacing w:after="0" w:line="105" w:lineRule="exact"/>
        <w:rPr>
          <w:sz w:val="20"/>
          <w:szCs w:val="20"/>
          <w:color w:val="auto"/>
        </w:rPr>
      </w:pPr>
    </w:p>
    <w:p>
      <w:pPr>
        <w:ind w:left="2600" w:hanging="648"/>
        <w:spacing w:after="0"/>
        <w:tabs>
          <w:tab w:leader="none" w:pos="26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Immediately upon Executive’s death;</w:t>
      </w:r>
    </w:p>
    <w:p>
      <w:pPr>
        <w:spacing w:after="0" w:line="206" w:lineRule="exact"/>
        <w:rPr>
          <w:rFonts w:ascii="Arial" w:cs="Arial" w:eastAsia="Arial" w:hAnsi="Arial"/>
          <w:sz w:val="22"/>
          <w:szCs w:val="22"/>
          <w:color w:val="auto"/>
        </w:rPr>
      </w:pPr>
    </w:p>
    <w:p>
      <w:pPr>
        <w:ind w:left="660" w:right="440" w:firstLine="1292"/>
        <w:spacing w:after="0" w:line="250" w:lineRule="auto"/>
        <w:tabs>
          <w:tab w:leader="none" w:pos="2604"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By the Company</w:t>
      </w:r>
      <w:r>
        <w:rPr>
          <w:rFonts w:ascii="Arial" w:cs="Arial" w:eastAsia="Arial" w:hAnsi="Arial"/>
          <w:sz w:val="22"/>
          <w:szCs w:val="22"/>
          <w:color w:val="auto"/>
        </w:rPr>
        <w:t>, by written notice to Executive effective as of the date of such notice (or on such other date as specified in such notice):</w:t>
      </w:r>
    </w:p>
    <w:p>
      <w:pPr>
        <w:spacing w:after="0" w:line="174" w:lineRule="exact"/>
        <w:rPr>
          <w:rFonts w:ascii="Arial" w:cs="Arial" w:eastAsia="Arial" w:hAnsi="Arial"/>
          <w:sz w:val="22"/>
          <w:szCs w:val="22"/>
          <w:color w:val="auto"/>
        </w:rPr>
      </w:pPr>
    </w:p>
    <w:p>
      <w:pPr>
        <w:ind w:left="1300" w:firstLine="1300"/>
        <w:spacing w:after="0" w:line="268" w:lineRule="auto"/>
        <w:tabs>
          <w:tab w:leader="none" w:pos="3244" w:val="left"/>
        </w:tabs>
        <w:numPr>
          <w:ilvl w:val="2"/>
          <w:numId w:val="85"/>
        </w:numPr>
        <w:rPr>
          <w:rFonts w:ascii="Arial" w:cs="Arial" w:eastAsia="Arial" w:hAnsi="Arial"/>
          <w:sz w:val="19"/>
          <w:szCs w:val="19"/>
          <w:color w:val="auto"/>
        </w:rPr>
      </w:pPr>
      <w:r>
        <w:rPr>
          <w:rFonts w:ascii="Arial" w:cs="Arial" w:eastAsia="Arial" w:hAnsi="Arial"/>
          <w:sz w:val="19"/>
          <w:szCs w:val="19"/>
          <w:color w:val="auto"/>
        </w:rPr>
        <w:t>Following the Disability of Executive. “Disability” means that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last for a continuous period of not less than twelve (12) months, receiving income replacement benefits for a period of not less than three (3) months under an accident and health plan covering employees of the Company. Such incapacity shall be determined by a physician chosen by the Company and reasonably satisfactory to Executive (or Executive’s legal representative) upon examination requested by the Company (to which Executive hereby agrees to submit). Notwithstanding the foregoing, such Disability must result in Executive becoming “Disabled” within the meaning of Section 409A(a)(2)</w:t>
      </w:r>
    </w:p>
    <w:p>
      <w:pPr>
        <w:spacing w:after="0" w:line="7" w:lineRule="exact"/>
        <w:rPr>
          <w:rFonts w:ascii="Arial" w:cs="Arial" w:eastAsia="Arial" w:hAnsi="Arial"/>
          <w:sz w:val="19"/>
          <w:szCs w:val="19"/>
          <w:color w:val="auto"/>
        </w:rPr>
      </w:pPr>
    </w:p>
    <w:p>
      <w:pPr>
        <w:ind w:left="1300" w:right="440" w:firstLine="4"/>
        <w:spacing w:after="0" w:line="234" w:lineRule="auto"/>
        <w:tabs>
          <w:tab w:leader="none" w:pos="1642" w:val="left"/>
        </w:tabs>
        <w:numPr>
          <w:ilvl w:val="0"/>
          <w:numId w:val="86"/>
        </w:numPr>
        <w:rPr>
          <w:rFonts w:ascii="Arial" w:cs="Arial" w:eastAsia="Arial" w:hAnsi="Arial"/>
          <w:sz w:val="22"/>
          <w:szCs w:val="22"/>
          <w:color w:val="auto"/>
        </w:rPr>
      </w:pPr>
      <w:r>
        <w:rPr>
          <w:rFonts w:ascii="Arial" w:cs="Arial" w:eastAsia="Arial" w:hAnsi="Arial"/>
          <w:sz w:val="22"/>
          <w:szCs w:val="22"/>
          <w:color w:val="auto"/>
        </w:rPr>
        <w:t>of the Internal Revenue Code of 1986, as amended (the “Code”) and the guidance issued thereunder. (In this Agreement we refer to Section 409A of the Code and any guidance issued thereunder as “Section 409A.”)</w:t>
      </w:r>
    </w:p>
    <w:p>
      <w:pPr>
        <w:spacing w:after="0" w:line="187" w:lineRule="exact"/>
        <w:rPr>
          <w:rFonts w:ascii="Arial" w:cs="Arial" w:eastAsia="Arial" w:hAnsi="Arial"/>
          <w:sz w:val="22"/>
          <w:szCs w:val="22"/>
          <w:color w:val="auto"/>
        </w:rPr>
      </w:pPr>
    </w:p>
    <w:p>
      <w:pPr>
        <w:ind w:left="3240" w:hanging="640"/>
        <w:spacing w:after="0"/>
        <w:tabs>
          <w:tab w:leader="none" w:pos="3240" w:val="left"/>
        </w:tabs>
        <w:numPr>
          <w:ilvl w:val="2"/>
          <w:numId w:val="86"/>
        </w:numPr>
        <w:rPr>
          <w:rFonts w:ascii="Arial" w:cs="Arial" w:eastAsia="Arial" w:hAnsi="Arial"/>
          <w:sz w:val="22"/>
          <w:szCs w:val="22"/>
          <w:color w:val="auto"/>
        </w:rPr>
      </w:pPr>
      <w:r>
        <w:rPr>
          <w:rFonts w:ascii="Arial" w:cs="Arial" w:eastAsia="Arial" w:hAnsi="Arial"/>
          <w:sz w:val="22"/>
          <w:szCs w:val="22"/>
          <w:color w:val="auto"/>
        </w:rPr>
        <w:t>For Cause (as defined below); or</w:t>
      </w:r>
    </w:p>
    <w:p>
      <w:pPr>
        <w:spacing w:after="0" w:line="206" w:lineRule="exact"/>
        <w:rPr>
          <w:rFonts w:ascii="Arial" w:cs="Arial" w:eastAsia="Arial" w:hAnsi="Arial"/>
          <w:sz w:val="22"/>
          <w:szCs w:val="22"/>
          <w:color w:val="auto"/>
        </w:rPr>
      </w:pPr>
    </w:p>
    <w:p>
      <w:pPr>
        <w:ind w:left="3240" w:hanging="640"/>
        <w:spacing w:after="0"/>
        <w:tabs>
          <w:tab w:leader="none" w:pos="3240" w:val="left"/>
        </w:tabs>
        <w:numPr>
          <w:ilvl w:val="2"/>
          <w:numId w:val="86"/>
        </w:numPr>
        <w:rPr>
          <w:rFonts w:ascii="Arial" w:cs="Arial" w:eastAsia="Arial" w:hAnsi="Arial"/>
          <w:sz w:val="22"/>
          <w:szCs w:val="22"/>
          <w:color w:val="auto"/>
        </w:rPr>
      </w:pPr>
      <w:r>
        <w:rPr>
          <w:rFonts w:ascii="Arial" w:cs="Arial" w:eastAsia="Arial" w:hAnsi="Arial"/>
          <w:sz w:val="22"/>
          <w:szCs w:val="22"/>
          <w:color w:val="auto"/>
        </w:rPr>
        <w:t>Subject to Section 4 hereof, without Cause;</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By Executive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00" w:firstLine="1300"/>
        <w:spacing w:after="0" w:line="250" w:lineRule="auto"/>
        <w:tabs>
          <w:tab w:leader="none" w:pos="3244" w:val="left"/>
        </w:tabs>
        <w:numPr>
          <w:ilvl w:val="2"/>
          <w:numId w:val="87"/>
        </w:numPr>
        <w:rPr>
          <w:rFonts w:ascii="Arial" w:cs="Arial" w:eastAsia="Arial" w:hAnsi="Arial"/>
          <w:sz w:val="22"/>
          <w:szCs w:val="22"/>
          <w:color w:val="auto"/>
        </w:rPr>
      </w:pPr>
      <w:r>
        <w:rPr>
          <w:rFonts w:ascii="Arial" w:cs="Arial" w:eastAsia="Arial" w:hAnsi="Arial"/>
          <w:sz w:val="22"/>
          <w:szCs w:val="22"/>
          <w:color w:val="auto"/>
        </w:rPr>
        <w:t>At any time by written notice to the Company, effective thirty (30) days after the date of such notice; or</w:t>
      </w:r>
    </w:p>
    <w:p>
      <w:pPr>
        <w:spacing w:after="0" w:line="174" w:lineRule="exact"/>
        <w:rPr>
          <w:rFonts w:ascii="Arial" w:cs="Arial" w:eastAsia="Arial" w:hAnsi="Arial"/>
          <w:sz w:val="22"/>
          <w:szCs w:val="22"/>
          <w:color w:val="auto"/>
        </w:rPr>
      </w:pPr>
    </w:p>
    <w:p>
      <w:pPr>
        <w:ind w:left="1300" w:right="480" w:firstLine="1300"/>
        <w:spacing w:after="0" w:line="250" w:lineRule="auto"/>
        <w:tabs>
          <w:tab w:leader="none" w:pos="3244" w:val="left"/>
        </w:tabs>
        <w:numPr>
          <w:ilvl w:val="2"/>
          <w:numId w:val="87"/>
        </w:numPr>
        <w:rPr>
          <w:rFonts w:ascii="Arial" w:cs="Arial" w:eastAsia="Arial" w:hAnsi="Arial"/>
          <w:sz w:val="22"/>
          <w:szCs w:val="22"/>
          <w:color w:val="auto"/>
        </w:rPr>
      </w:pPr>
      <w:r>
        <w:rPr>
          <w:rFonts w:ascii="Arial" w:cs="Arial" w:eastAsia="Arial" w:hAnsi="Arial"/>
          <w:sz w:val="22"/>
          <w:szCs w:val="22"/>
          <w:color w:val="auto"/>
        </w:rPr>
        <w:t>By written notice to the Company for Good Reason (as defined below), effective on the date specified in such notice.</w:t>
      </w:r>
    </w:p>
    <w:p>
      <w:pPr>
        <w:spacing w:after="0" w:line="175"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The term of Executive’s employment by the Company under this Agreement is referred to herein as the “Term.”</w:t>
      </w:r>
    </w:p>
    <w:p>
      <w:pPr>
        <w:spacing w:after="0" w:line="175" w:lineRule="exact"/>
        <w:rPr>
          <w:sz w:val="20"/>
          <w:szCs w:val="20"/>
          <w:color w:val="auto"/>
        </w:rPr>
      </w:pPr>
    </w:p>
    <w:p>
      <w:pPr>
        <w:ind w:right="120" w:firstLine="1304"/>
        <w:spacing w:after="0" w:line="235" w:lineRule="auto"/>
        <w:tabs>
          <w:tab w:leader="none" w:pos="1944"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Definition of “Cause”</w:t>
      </w:r>
      <w:r>
        <w:rPr>
          <w:rFonts w:ascii="Arial" w:cs="Arial" w:eastAsia="Arial" w:hAnsi="Arial"/>
          <w:sz w:val="22"/>
          <w:szCs w:val="22"/>
          <w:color w:val="auto"/>
        </w:rPr>
        <w:t>. For purposes of this Agreement, “Cause” shall, pursuant to the reasonable good faith determination by the Company as documented in writing, mean: (i) the willful and continued failure by Executive to substantially perform Executive’s material duties or responsibilities under this Agreement (other than such a failure as a result of Disability); (ii) any action or omission by Executive involving willful misconduct or gross negligence with regard to the Company, which has a detrimental effect on the Company;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58" w:right="101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2"/>
          <w:szCs w:val="22"/>
          <w:color w:val="auto"/>
        </w:rPr>
        <w:t>-3-</w:t>
      </w:r>
    </w:p>
    <w:p>
      <w:pPr>
        <w:spacing w:after="0" w:line="38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Executive’s conviction of a felony, either in connection with the performance of Executive’s obligations to the Company or which otherwise shall adversely affect Executive’s ability to perform such obligations or shall materially adversely affect the business activities, reputation, goodwill or image of the Company; (iv) the material breach of a fiduciary duty to the Company; or (v) the material breach by Executive of a material provision of this Agreement, provided that any breach of Executive’s obligations with respect to Sections 5 or 6 of this Agreement, subject to the cure provision in the next sentence, shall be deemed “material.” In respect of the events described in clauses (i) and (v) above, the Company shall give Executive written notice of the failure of performance or breach, reasonable as to time, place and manner in the circumstances, and a 30-day opportunity to cure, provided that such failure of performance or breach is reasonably amenable to cure as determined by the Company in its reasonable discretion. If cured, such events or grounds shall no longer be deemed a basis for a termination of Executive for “Cause,” at any time during Executive’s employment.</w:t>
      </w:r>
    </w:p>
    <w:p>
      <w:pPr>
        <w:spacing w:after="0" w:line="155" w:lineRule="exact"/>
        <w:rPr>
          <w:sz w:val="20"/>
          <w:szCs w:val="20"/>
          <w:color w:val="auto"/>
        </w:rPr>
      </w:pPr>
    </w:p>
    <w:p>
      <w:pPr>
        <w:ind w:firstLine="1304"/>
        <w:spacing w:after="0" w:line="271" w:lineRule="auto"/>
        <w:tabs>
          <w:tab w:leader="none" w:pos="1944"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Definition of “Good Reason”</w:t>
      </w:r>
      <w:r>
        <w:rPr>
          <w:rFonts w:ascii="Arial" w:cs="Arial" w:eastAsia="Arial" w:hAnsi="Arial"/>
          <w:sz w:val="19"/>
          <w:szCs w:val="19"/>
          <w:color w:val="auto"/>
        </w:rPr>
        <w:t>. For purposes of this Agreement, “Good Reason” shall mean any of the following, unless (i) the basis for such Good Reason is cured within a reasonable period of time (in the light of the cure appropriate to the basis of such Good Reason, but in no event less than thirty (30) nor more than ninety (90) days) after the Company receives written notice (which must be received from Executive within ninety</w:t>
      </w:r>
    </w:p>
    <w:p>
      <w:pPr>
        <w:spacing w:after="0" w:line="3" w:lineRule="exact"/>
        <w:rPr>
          <w:rFonts w:ascii="Arial" w:cs="Arial" w:eastAsia="Arial" w:hAnsi="Arial"/>
          <w:sz w:val="19"/>
          <w:szCs w:val="19"/>
          <w:color w:val="auto"/>
        </w:rPr>
      </w:pPr>
    </w:p>
    <w:p>
      <w:pPr>
        <w:jc w:val="both"/>
        <w:ind w:right="260" w:firstLine="8"/>
        <w:spacing w:after="0" w:line="308" w:lineRule="auto"/>
        <w:tabs>
          <w:tab w:leader="none" w:pos="414" w:val="left"/>
        </w:tabs>
        <w:numPr>
          <w:ilvl w:val="0"/>
          <w:numId w:val="90"/>
        </w:numPr>
        <w:rPr>
          <w:rFonts w:ascii="Arial" w:cs="Arial" w:eastAsia="Arial" w:hAnsi="Arial"/>
          <w:sz w:val="19"/>
          <w:szCs w:val="19"/>
          <w:color w:val="auto"/>
        </w:rPr>
      </w:pPr>
      <w:r>
        <w:rPr>
          <w:rFonts w:ascii="Arial" w:cs="Arial" w:eastAsia="Arial" w:hAnsi="Arial"/>
          <w:sz w:val="19"/>
          <w:szCs w:val="19"/>
          <w:color w:val="auto"/>
        </w:rPr>
        <w:t>days of the initial existence of the condition giving rise to such Good Reason) specifying the basis for such Good Reason or (ii) Executive has consented to the condition that would otherwise be a basis for Good Reason:</w:t>
      </w:r>
    </w:p>
    <w:p>
      <w:pPr>
        <w:spacing w:after="0" w:line="123" w:lineRule="exact"/>
        <w:rPr>
          <w:rFonts w:ascii="Arial" w:cs="Arial" w:eastAsia="Arial" w:hAnsi="Arial"/>
          <w:sz w:val="19"/>
          <w:szCs w:val="19"/>
          <w:color w:val="auto"/>
        </w:rPr>
      </w:pPr>
    </w:p>
    <w:p>
      <w:pPr>
        <w:ind w:left="660" w:right="20" w:firstLine="1292"/>
        <w:spacing w:after="0" w:line="246" w:lineRule="auto"/>
        <w:tabs>
          <w:tab w:leader="none" w:pos="2604" w:val="left"/>
        </w:tabs>
        <w:numPr>
          <w:ilvl w:val="2"/>
          <w:numId w:val="90"/>
        </w:numPr>
        <w:rPr>
          <w:rFonts w:ascii="Arial" w:cs="Arial" w:eastAsia="Arial" w:hAnsi="Arial"/>
          <w:sz w:val="21"/>
          <w:szCs w:val="21"/>
          <w:color w:val="auto"/>
        </w:rPr>
      </w:pPr>
      <w:r>
        <w:rPr>
          <w:rFonts w:ascii="Arial" w:cs="Arial" w:eastAsia="Arial" w:hAnsi="Arial"/>
          <w:sz w:val="21"/>
          <w:szCs w:val="21"/>
          <w:color w:val="auto"/>
        </w:rPr>
        <w:t>A change in the principal location at which Executive provides services to the Company to a location more than fifty (50) miles from such principal location other than in a direction that reduces Executive’s daily commuting distance (which change, the Company has reasonably determined as of the date hereof, would constitute a material change in the geographic location at which Executive provides services to the Company), provided that such a relocation shall not be deemed to occur under circumstances where Executive’s responsibilities require him to work at a location other than the corporate headquarters for a reasonable period of time;</w:t>
      </w:r>
    </w:p>
    <w:p>
      <w:pPr>
        <w:spacing w:after="0" w:line="184" w:lineRule="exact"/>
        <w:rPr>
          <w:rFonts w:ascii="Arial" w:cs="Arial" w:eastAsia="Arial" w:hAnsi="Arial"/>
          <w:sz w:val="21"/>
          <w:szCs w:val="21"/>
          <w:color w:val="auto"/>
        </w:rPr>
      </w:pPr>
    </w:p>
    <w:p>
      <w:pPr>
        <w:ind w:left="660" w:right="560" w:firstLine="1292"/>
        <w:spacing w:after="0" w:line="297" w:lineRule="auto"/>
        <w:tabs>
          <w:tab w:leader="none" w:pos="2604" w:val="left"/>
        </w:tabs>
        <w:numPr>
          <w:ilvl w:val="2"/>
          <w:numId w:val="90"/>
        </w:numPr>
        <w:rPr>
          <w:rFonts w:ascii="Arial" w:cs="Arial" w:eastAsia="Arial" w:hAnsi="Arial"/>
          <w:sz w:val="19"/>
          <w:szCs w:val="19"/>
          <w:color w:val="auto"/>
        </w:rPr>
      </w:pPr>
      <w:r>
        <w:rPr>
          <w:rFonts w:ascii="Arial" w:cs="Arial" w:eastAsia="Arial" w:hAnsi="Arial"/>
          <w:sz w:val="19"/>
          <w:szCs w:val="19"/>
          <w:color w:val="auto"/>
        </w:rPr>
        <w:t>A material adverse change by the Company in Executive’s duties, authority or responsibilities which causes Executive’s position with the Company to become of materially less responsibility or authority than Executive’s position immediately following the Effective Date;</w:t>
      </w:r>
    </w:p>
    <w:p>
      <w:pPr>
        <w:spacing w:after="0" w:line="133" w:lineRule="exact"/>
        <w:rPr>
          <w:rFonts w:ascii="Arial" w:cs="Arial" w:eastAsia="Arial" w:hAnsi="Arial"/>
          <w:sz w:val="19"/>
          <w:szCs w:val="19"/>
          <w:color w:val="auto"/>
        </w:rPr>
      </w:pPr>
    </w:p>
    <w:p>
      <w:pPr>
        <w:ind w:left="2600" w:hanging="648"/>
        <w:spacing w:after="0"/>
        <w:tabs>
          <w:tab w:leader="none" w:pos="2600" w:val="left"/>
        </w:tabs>
        <w:numPr>
          <w:ilvl w:val="2"/>
          <w:numId w:val="90"/>
        </w:numPr>
        <w:rPr>
          <w:rFonts w:ascii="Arial" w:cs="Arial" w:eastAsia="Arial" w:hAnsi="Arial"/>
          <w:sz w:val="22"/>
          <w:szCs w:val="22"/>
          <w:color w:val="auto"/>
        </w:rPr>
      </w:pPr>
      <w:r>
        <w:rPr>
          <w:rFonts w:ascii="Arial" w:cs="Arial" w:eastAsia="Arial" w:hAnsi="Arial"/>
          <w:sz w:val="22"/>
          <w:szCs w:val="22"/>
          <w:color w:val="auto"/>
        </w:rPr>
        <w:t>A material reduction in Executive’s base salary;</w:t>
      </w:r>
    </w:p>
    <w:p>
      <w:pPr>
        <w:spacing w:after="0" w:line="206" w:lineRule="exact"/>
        <w:rPr>
          <w:rFonts w:ascii="Arial" w:cs="Arial" w:eastAsia="Arial" w:hAnsi="Arial"/>
          <w:sz w:val="22"/>
          <w:szCs w:val="22"/>
          <w:color w:val="auto"/>
        </w:rPr>
      </w:pPr>
    </w:p>
    <w:p>
      <w:pPr>
        <w:ind w:left="660" w:right="280" w:firstLine="1292"/>
        <w:spacing w:after="0" w:line="250" w:lineRule="auto"/>
        <w:tabs>
          <w:tab w:leader="none" w:pos="2604" w:val="left"/>
        </w:tabs>
        <w:numPr>
          <w:ilvl w:val="2"/>
          <w:numId w:val="90"/>
        </w:numPr>
        <w:rPr>
          <w:rFonts w:ascii="Arial" w:cs="Arial" w:eastAsia="Arial" w:hAnsi="Arial"/>
          <w:sz w:val="22"/>
          <w:szCs w:val="22"/>
          <w:color w:val="auto"/>
        </w:rPr>
      </w:pPr>
      <w:r>
        <w:rPr>
          <w:rFonts w:ascii="Arial" w:cs="Arial" w:eastAsia="Arial" w:hAnsi="Arial"/>
          <w:sz w:val="22"/>
          <w:szCs w:val="22"/>
          <w:color w:val="auto"/>
        </w:rPr>
        <w:t>A material breach by the Company of this Agreement, which breach has not been cured within thirty (30) days after written notice thereof by Executive; or</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2"/>
          <w:numId w:val="90"/>
        </w:numPr>
        <w:rPr>
          <w:rFonts w:ascii="Arial" w:cs="Arial" w:eastAsia="Arial" w:hAnsi="Arial"/>
          <w:sz w:val="19"/>
          <w:szCs w:val="19"/>
          <w:color w:val="auto"/>
        </w:rPr>
      </w:pPr>
      <w:r>
        <w:rPr>
          <w:rFonts w:ascii="Arial" w:cs="Arial" w:eastAsia="Arial" w:hAnsi="Arial"/>
          <w:sz w:val="19"/>
          <w:szCs w:val="19"/>
          <w:color w:val="auto"/>
        </w:rPr>
        <w:t>Failure to obtain the assumption (assignment) of this Agreement by any successor to</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96" w:name="page197"/>
    <w:bookmarkEnd w:id="196"/>
    <w:p>
      <w:pPr>
        <w:jc w:val="center"/>
        <w:ind w:right="-59"/>
        <w:spacing w:after="0"/>
        <w:rPr>
          <w:sz w:val="20"/>
          <w:szCs w:val="20"/>
          <w:color w:val="auto"/>
        </w:rPr>
      </w:pPr>
      <w:r>
        <w:rPr>
          <w:rFonts w:ascii="Arial" w:cs="Arial" w:eastAsia="Arial" w:hAnsi="Arial"/>
          <w:sz w:val="22"/>
          <w:szCs w:val="22"/>
          <w:color w:val="auto"/>
        </w:rPr>
        <w:t>-4-</w:t>
      </w:r>
    </w:p>
    <w:p>
      <w:pPr>
        <w:spacing w:after="0" w:line="382" w:lineRule="exact"/>
        <w:rPr>
          <w:sz w:val="20"/>
          <w:szCs w:val="20"/>
          <w:color w:val="auto"/>
        </w:rPr>
      </w:pPr>
    </w:p>
    <w:p>
      <w:pPr>
        <w:ind w:firstLine="1304"/>
        <w:spacing w:after="0" w:line="268" w:lineRule="auto"/>
        <w:tabs>
          <w:tab w:leader="none" w:pos="1944" w:val="left"/>
        </w:tabs>
        <w:numPr>
          <w:ilvl w:val="2"/>
          <w:numId w:val="91"/>
        </w:numPr>
        <w:rPr>
          <w:rFonts w:ascii="Arial" w:cs="Arial" w:eastAsia="Arial" w:hAnsi="Arial"/>
          <w:sz w:val="19"/>
          <w:szCs w:val="19"/>
          <w:color w:val="auto"/>
        </w:rPr>
      </w:pPr>
      <w:r>
        <w:rPr>
          <w:rFonts w:ascii="Arial" w:cs="Arial" w:eastAsia="Arial" w:hAnsi="Arial"/>
          <w:sz w:val="19"/>
          <w:szCs w:val="19"/>
          <w:u w:val="single" w:color="auto"/>
          <w:color w:val="auto"/>
        </w:rPr>
        <w:t>Definition of “Corporate Change”</w:t>
      </w:r>
      <w:r>
        <w:rPr>
          <w:rFonts w:ascii="Arial" w:cs="Arial" w:eastAsia="Arial" w:hAnsi="Arial"/>
          <w:sz w:val="19"/>
          <w:szCs w:val="19"/>
          <w:color w:val="auto"/>
        </w:rPr>
        <w:t>. For purposes of this Agreement, “Corporate Change” shall mean any circumstance in which (i) the Company is not the surviving entity in any merger, consolidation or other reorganization (or survives only as a subsidiary or affiliate of an entity other than a previously wholly-owned subsidiary of the Company); (ii) the Company sells, leases or exchanges all or substantially all of its assets to any other person or entity (other than a wholly-owned subsidiary of the Company); (iii) any person or entity, including a “group” as contemplated by Section 13(d)(3) of the Securities Exchange Act of 1934 (excluding, for this purpose, the Company or any subsidiary, or any employee benefit plan of the Company or any subsidiary, or any “group” in which all or substantially all of its members or its members’ affiliates are individuals or entities who are or were beneficial owners of the Company’s outstanding shares prior to the initial public offering of the Company’s common stock), acquires or gains ownership or control (including, without limitations, powers to vote) of more than 50% of the outstanding shares of the Company’s voting stock (based upon voting power); or</w:t>
      </w:r>
    </w:p>
    <w:p>
      <w:pPr>
        <w:spacing w:after="0" w:line="7" w:lineRule="exact"/>
        <w:rPr>
          <w:rFonts w:ascii="Arial" w:cs="Arial" w:eastAsia="Arial" w:hAnsi="Arial"/>
          <w:sz w:val="19"/>
          <w:szCs w:val="19"/>
          <w:color w:val="auto"/>
        </w:rPr>
      </w:pPr>
    </w:p>
    <w:p>
      <w:pPr>
        <w:ind w:right="20" w:firstLine="8"/>
        <w:spacing w:after="0" w:line="269" w:lineRule="auto"/>
        <w:tabs>
          <w:tab w:leader="none" w:pos="306" w:val="left"/>
        </w:tabs>
        <w:numPr>
          <w:ilvl w:val="0"/>
          <w:numId w:val="92"/>
        </w:numPr>
        <w:rPr>
          <w:rFonts w:ascii="Arial" w:cs="Arial" w:eastAsia="Arial" w:hAnsi="Arial"/>
          <w:sz w:val="19"/>
          <w:szCs w:val="19"/>
          <w:color w:val="auto"/>
        </w:rPr>
      </w:pPr>
      <w:r>
        <w:rPr>
          <w:rFonts w:ascii="Arial" w:cs="Arial" w:eastAsia="Arial" w:hAnsi="Arial"/>
          <w:sz w:val="19"/>
          <w:szCs w:val="19"/>
          <w:color w:val="auto"/>
        </w:rPr>
        <w:t>as a result of or in connection with a contested election of directors, the persons who were directors of the Company before such election shall cease to constitute a majority of the Board of Directors of the Company. Notwithstanding the foregoing, a “Corporate Change” shall not occur as a result of a merger, consolidation, reorganization or restructuring after which either (1) a majority of the Board of Directors of the controlling entity consists of persons who were directors of the Company prior to the merger, consolidation, reorganization or restructuring or (2) all or substantially all of the individuals or entities who were the beneficial owners of the Company’s outstanding shares immediately prior to such merger, consolidation, reorganization or restructuring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substantially the same proportions as their ownership of the Company’s outstanding shares immediately prior to the merger, consolidation, reorganization or restructuring. Notwithstanding the foregoing, for any payments or benefits hereunder (including pursuant to Section 4(b)(iii) hereof) or pursuant to any other agreement between the Company and Executive, in either case that are subject to Section 409A, the Corporate Change must constitute a “change in control event” within the meaning of Treasury Regulation Section 1.409A-3(i)(5)(i).</w:t>
      </w:r>
    </w:p>
    <w:p>
      <w:pPr>
        <w:spacing w:after="0" w:line="169" w:lineRule="exact"/>
        <w:rPr>
          <w:rFonts w:ascii="Arial" w:cs="Arial" w:eastAsia="Arial" w:hAnsi="Arial"/>
          <w:sz w:val="19"/>
          <w:szCs w:val="19"/>
          <w:color w:val="auto"/>
        </w:rPr>
      </w:pPr>
    </w:p>
    <w:p>
      <w:pPr>
        <w:ind w:left="1300" w:hanging="644"/>
        <w:spacing w:after="0"/>
        <w:tabs>
          <w:tab w:leader="none" w:pos="1300"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Compensation.</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2"/>
          <w:numId w:val="92"/>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Executive’s minimum base salary during the Term shall be at the rate of</w:t>
      </w:r>
    </w:p>
    <w:p>
      <w:pPr>
        <w:spacing w:after="0" w:line="43"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$425,000 per year. Executive’s base salary shall be payable in substantially equal installments in accordance with the Company’s payroll practices as in effect from time to time, less any amounts required to be withheld under applicable law. The base salary will be subject to adjustment from time to time in the sole discretion of the Company; provided that, the Company covenants that (A) during the first twelve months of Executive’s employment, it shall not reduce Executive’s base salary and (B) following such twelve month period, it shall not reduce the base salary below the base salary then in effect immediately prior to the reduction unless (i) Executive consents to such reduction, or (ii) the reduction is in connection with a general reduction of not more than 20% in compensation of senior executives of the Company generally that occurs prior to the effective date of any Corporate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616585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58" w:right="1059" w:bottom="1440" w:gutter="0" w:footer="0" w:header="0"/>
        </w:sectPr>
      </w:pPr>
    </w:p>
    <w:bookmarkStart w:id="197" w:name="page198"/>
    <w:bookmarkEnd w:id="197"/>
    <w:p>
      <w:pPr>
        <w:jc w:val="center"/>
        <w:spacing w:after="0"/>
        <w:rPr>
          <w:sz w:val="20"/>
          <w:szCs w:val="20"/>
          <w:color w:val="auto"/>
        </w:rPr>
      </w:pPr>
      <w:r>
        <w:rPr>
          <w:rFonts w:ascii="Arial" w:cs="Arial" w:eastAsia="Arial" w:hAnsi="Arial"/>
          <w:sz w:val="22"/>
          <w:szCs w:val="22"/>
          <w:color w:val="auto"/>
        </w:rPr>
        <w:t>-5-</w:t>
      </w:r>
    </w:p>
    <w:p>
      <w:pPr>
        <w:spacing w:after="0" w:line="382" w:lineRule="exact"/>
        <w:rPr>
          <w:sz w:val="20"/>
          <w:szCs w:val="20"/>
          <w:color w:val="auto"/>
        </w:rPr>
      </w:pPr>
    </w:p>
    <w:p>
      <w:pPr>
        <w:ind w:left="-20" w:firstLine="1304"/>
        <w:spacing w:after="0" w:line="273" w:lineRule="auto"/>
        <w:tabs>
          <w:tab w:leader="none" w:pos="1924"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In addition to the base salary, the Company may pay Executive an annual bonus (the “Bonus”) as determined by the Board, solely in its discretion (it being understood that Executive’s target annual bonus shall be 40% of Executive’s annual base salary in effect for such year but the actual bonus may be higher or lower in any year in the Board’s discretion). The Board’s decision to issue a Bonus to Executive in any particular year shall have no effect on the absolute discretion of the Board to grant or not to grant a Bonus in subsequent years. Executive must be an active employee of the Company on December 31 of any calendar year in order to be eligible for and to earn any Bonus for that year. Any Bonus for a particular year shall be paid or provided to Executive in a lump sum no later than March 15</w:t>
      </w:r>
      <w:r>
        <w:rPr>
          <w:rFonts w:ascii="Arial" w:cs="Arial" w:eastAsia="Arial" w:hAnsi="Arial"/>
          <w:sz w:val="14"/>
          <w:szCs w:val="14"/>
          <w:color w:val="auto"/>
        </w:rPr>
        <w:t>th</w:t>
      </w:r>
      <w:r>
        <w:rPr>
          <w:rFonts w:ascii="Arial" w:cs="Arial" w:eastAsia="Arial" w:hAnsi="Arial"/>
          <w:sz w:val="19"/>
          <w:szCs w:val="19"/>
          <w:color w:val="auto"/>
        </w:rPr>
        <w:t xml:space="preserve"> of the calendar year following the calendar year in which the Bonus was earned. For the avoidance of doubt, Executive will first be eligible for the Bonus for the 2020 calendar year. Any Bonus would be prorated for the 2020 calendar year.</w:t>
      </w:r>
    </w:p>
    <w:p>
      <w:pPr>
        <w:spacing w:after="0" w:line="160" w:lineRule="exact"/>
        <w:rPr>
          <w:rFonts w:ascii="Arial" w:cs="Arial" w:eastAsia="Arial" w:hAnsi="Arial"/>
          <w:sz w:val="19"/>
          <w:szCs w:val="19"/>
          <w:color w:val="auto"/>
        </w:rPr>
      </w:pPr>
    </w:p>
    <w:p>
      <w:pPr>
        <w:ind w:left="-20" w:right="20" w:firstLine="1304"/>
        <w:spacing w:after="0" w:line="244" w:lineRule="auto"/>
        <w:tabs>
          <w:tab w:leader="none" w:pos="1924"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Stock Option Grant</w:t>
      </w:r>
      <w:r>
        <w:rPr>
          <w:rFonts w:ascii="Arial" w:cs="Arial" w:eastAsia="Arial" w:hAnsi="Arial"/>
          <w:sz w:val="21"/>
          <w:szCs w:val="21"/>
          <w:color w:val="auto"/>
        </w:rPr>
        <w:t>. Subject to approval by the Compensation Committee of the Board or a majority of the Company’s Independent Directors (as defined in Nasdaq Listing Rule 5605(a)(2)), and as a material inducement to Executive entering into employment with the Company, the Company will grant to Executive an option to purchase 350,000 shares of the Company’s common stock (the “Option”). The Option is subject to adjustment for stock splits, combinations or other recapitalizations. The exercise price per share of the Option shall be equal to the last reported sale price per share of the common stock on the Nasdaq stock exchange on the effective date of grant of the Option. The Option shall be issued outside the Company’s 2014 Equity Incentive Plan, as amended, as an “inducement grant” within the meaning of Nasdaq Listing Rule 5635(c)(4), will be a non-qualified stock option for United States tax purposes and will be subject to all of the terms and conditions set forth in a written agreement covering the Option, including, if applicable, the Company's 2019 Inducement Stock Incentive Plan.</w:t>
      </w:r>
    </w:p>
    <w:p>
      <w:pPr>
        <w:spacing w:after="0" w:line="188" w:lineRule="exact"/>
        <w:rPr>
          <w:rFonts w:ascii="Arial" w:cs="Arial" w:eastAsia="Arial" w:hAnsi="Arial"/>
          <w:sz w:val="21"/>
          <w:szCs w:val="21"/>
          <w:color w:val="auto"/>
        </w:rPr>
      </w:pPr>
    </w:p>
    <w:p>
      <w:pPr>
        <w:ind w:left="-20" w:right="100" w:firstLine="1304"/>
        <w:spacing w:after="0" w:line="236" w:lineRule="auto"/>
        <w:tabs>
          <w:tab w:leader="none" w:pos="1924"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Executive shall be entitled to take 20 (twenty) days of paid vacation during each year of the Term to be taken at such time or times as shall be mutually convenient and consistent with his duties and obligations to the Company. The number of vacation days for which Executive is eligible shall accrue at the rate of 1.67 days per month. Vacation is at all times subject to the Company’s Time-Off Policy, which the Company may change periodically in its sole discretion.</w:t>
      </w:r>
    </w:p>
    <w:p>
      <w:pPr>
        <w:spacing w:after="0" w:line="187" w:lineRule="exact"/>
        <w:rPr>
          <w:rFonts w:ascii="Arial" w:cs="Arial" w:eastAsia="Arial" w:hAnsi="Arial"/>
          <w:sz w:val="22"/>
          <w:szCs w:val="22"/>
          <w:color w:val="auto"/>
        </w:rPr>
      </w:pPr>
    </w:p>
    <w:p>
      <w:pPr>
        <w:ind w:left="-20" w:right="180" w:firstLine="1304"/>
        <w:spacing w:after="0" w:line="245" w:lineRule="auto"/>
        <w:tabs>
          <w:tab w:leader="none" w:pos="1924"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Fringe Benefits</w:t>
      </w:r>
      <w:r>
        <w:rPr>
          <w:rFonts w:ascii="Arial" w:cs="Arial" w:eastAsia="Arial" w:hAnsi="Arial"/>
          <w:sz w:val="21"/>
          <w:szCs w:val="21"/>
          <w:color w:val="auto"/>
        </w:rPr>
        <w:t>. Executive shall be entitled to participate in any employee benefit plans that the Company makes available to its executives (including, without limitation, group life, disability, medical, dental and other insurance, retirement, pension, profit-sharing and similar plans) (collectively, the “Fringe Benefits”), provided that the Fringe Benefits shall not include any stock option or similar plans relating to the grant of equity securities of the Company. These benefits may be modified or changed from time to time at the sole discretion of the Company. Where a particular benefit is subject to a formal plan (for example, medical or life insurance), eligibility to participate in and receive any particular benefit is governed solely by the applicable plan document, and eligibility to participate in such plan(s) may be dependent upon, among other things, a physical examination.</w:t>
      </w:r>
    </w:p>
    <w:p>
      <w:pPr>
        <w:spacing w:after="0" w:line="184" w:lineRule="exact"/>
        <w:rPr>
          <w:rFonts w:ascii="Arial" w:cs="Arial" w:eastAsia="Arial" w:hAnsi="Arial"/>
          <w:sz w:val="21"/>
          <w:szCs w:val="21"/>
          <w:color w:val="auto"/>
        </w:rPr>
      </w:pPr>
    </w:p>
    <w:p>
      <w:pPr>
        <w:ind w:left="-20" w:right="120" w:firstLine="1304"/>
        <w:spacing w:after="0" w:line="250" w:lineRule="auto"/>
        <w:tabs>
          <w:tab w:leader="none" w:pos="1924"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Reimbursement of Expenses</w:t>
      </w:r>
      <w:r>
        <w:rPr>
          <w:rFonts w:ascii="Arial" w:cs="Arial" w:eastAsia="Arial" w:hAnsi="Arial"/>
          <w:sz w:val="22"/>
          <w:szCs w:val="22"/>
          <w:color w:val="auto"/>
        </w:rPr>
        <w:t>. Executive shall be entitled to reimbursement for all ordinary and reasonable out-of-pocket business expenses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604520</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658" w:right="99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22"/>
          <w:szCs w:val="22"/>
          <w:color w:val="auto"/>
        </w:rPr>
        <w:t>-6-</w:t>
      </w:r>
    </w:p>
    <w:p>
      <w:pPr>
        <w:spacing w:after="0" w:line="382" w:lineRule="exact"/>
        <w:rPr>
          <w:sz w:val="20"/>
          <w:szCs w:val="20"/>
          <w:color w:val="auto"/>
        </w:rPr>
      </w:pPr>
    </w:p>
    <w:p>
      <w:pPr>
        <w:ind w:right="520"/>
        <w:spacing w:after="0" w:line="274" w:lineRule="auto"/>
        <w:rPr>
          <w:sz w:val="20"/>
          <w:szCs w:val="20"/>
          <w:color w:val="auto"/>
        </w:rPr>
      </w:pPr>
      <w:r>
        <w:rPr>
          <w:rFonts w:ascii="Arial" w:cs="Arial" w:eastAsia="Arial" w:hAnsi="Arial"/>
          <w:sz w:val="21"/>
          <w:szCs w:val="21"/>
          <w:color w:val="auto"/>
        </w:rPr>
        <w:t>reasonably incurred by him in furtherance of the Company’s business in accordance with reasonable policies adopted from time to time by the Company for senior executives, subject to Section 4(d)(v).</w:t>
      </w:r>
    </w:p>
    <w:p>
      <w:pPr>
        <w:spacing w:after="0" w:line="151" w:lineRule="exact"/>
        <w:rPr>
          <w:sz w:val="20"/>
          <w:szCs w:val="20"/>
          <w:color w:val="auto"/>
        </w:rPr>
      </w:pPr>
    </w:p>
    <w:p>
      <w:pPr>
        <w:ind w:right="60" w:firstLine="1304"/>
        <w:spacing w:after="0" w:line="282" w:lineRule="auto"/>
        <w:tabs>
          <w:tab w:leader="none" w:pos="1944" w:val="left"/>
        </w:tabs>
        <w:numPr>
          <w:ilvl w:val="2"/>
          <w:numId w:val="94"/>
        </w:numPr>
        <w:rPr>
          <w:rFonts w:ascii="Arial" w:cs="Arial" w:eastAsia="Arial" w:hAnsi="Arial"/>
          <w:sz w:val="19"/>
          <w:szCs w:val="19"/>
          <w:color w:val="auto"/>
        </w:rPr>
      </w:pPr>
      <w:r>
        <w:rPr>
          <w:rFonts w:ascii="Arial" w:cs="Arial" w:eastAsia="Arial" w:hAnsi="Arial"/>
          <w:sz w:val="19"/>
          <w:szCs w:val="19"/>
          <w:u w:val="single" w:color="auto"/>
          <w:color w:val="auto"/>
        </w:rPr>
        <w:t>Sign on Bonus</w:t>
      </w:r>
      <w:r>
        <w:rPr>
          <w:rFonts w:ascii="Arial" w:cs="Arial" w:eastAsia="Arial" w:hAnsi="Arial"/>
          <w:sz w:val="19"/>
          <w:szCs w:val="19"/>
          <w:color w:val="auto"/>
        </w:rPr>
        <w:t>. The Company will pay Executive a one-time sign on bonus of $100,000 subject to tax deductions and withholdings, which will be paid within thirty (30) days of the Effective Date. If Executive voluntarily terminates his employment without Good Reason or his employment is terminated by the Company for Cause within one year of the Effective Date, Executive will be responsible for reimbursing the Company for the total amount of this bonus within thirty (30) days of the termination of Executive’s employment.</w:t>
      </w:r>
    </w:p>
    <w:p>
      <w:pPr>
        <w:spacing w:after="0" w:line="147" w:lineRule="exact"/>
        <w:rPr>
          <w:rFonts w:ascii="Arial" w:cs="Arial" w:eastAsia="Arial" w:hAnsi="Arial"/>
          <w:sz w:val="19"/>
          <w:szCs w:val="19"/>
          <w:color w:val="auto"/>
        </w:rPr>
      </w:pPr>
    </w:p>
    <w:p>
      <w:pPr>
        <w:ind w:right="100" w:firstLine="1304"/>
        <w:spacing w:after="0" w:line="244" w:lineRule="auto"/>
        <w:tabs>
          <w:tab w:leader="none" w:pos="1944" w:val="left"/>
        </w:tabs>
        <w:numPr>
          <w:ilvl w:val="2"/>
          <w:numId w:val="94"/>
        </w:numPr>
        <w:rPr>
          <w:rFonts w:ascii="Arial" w:cs="Arial" w:eastAsia="Arial" w:hAnsi="Arial"/>
          <w:sz w:val="21"/>
          <w:szCs w:val="21"/>
          <w:color w:val="auto"/>
        </w:rPr>
      </w:pPr>
      <w:r>
        <w:rPr>
          <w:rFonts w:ascii="Arial" w:cs="Arial" w:eastAsia="Arial" w:hAnsi="Arial"/>
          <w:sz w:val="21"/>
          <w:szCs w:val="21"/>
          <w:u w:val="single" w:color="auto"/>
          <w:color w:val="auto"/>
        </w:rPr>
        <w:t>Relocation Expenses</w:t>
      </w:r>
      <w:r>
        <w:rPr>
          <w:rFonts w:ascii="Arial" w:cs="Arial" w:eastAsia="Arial" w:hAnsi="Arial"/>
          <w:sz w:val="21"/>
          <w:szCs w:val="21"/>
          <w:color w:val="auto"/>
        </w:rPr>
        <w:t>. In order to assist with Executive’s relocation to the Greater Boston area, the Company will reimburse Executive for up to an amount to be reasonably determined by the Company in consultation with the Executive (the “Relocation Amount”) for reasonable moving expenses incurred by him in connection with his relocation within one year of the Effective Date. The Relocation Amount will be paid to Executive in a lump sum within sixty (60) days following his relocation to the Greater Boston area, provided that he delivers to the Company reasonable substantiation and documentation of such expenses. For the avoidance of doubt, no part of the Relocation Amount will be paid to Executive prior to his relocation to the Greater Boston area, and no expenses will be reimbursed if incurred after he ceases to be employed by the Company for any reason. Further, if Executive voluntarily terminates his employment without Good Reason or his employment is terminated by the Company for Cause within one year of the Effective Date, Executive will be responsible for reimbursing the Company for the total Reimbursement Amount within thirty (30) days of the termination of his employment.</w:t>
      </w:r>
    </w:p>
    <w:p>
      <w:pPr>
        <w:spacing w:after="0" w:line="185" w:lineRule="exact"/>
        <w:rPr>
          <w:rFonts w:ascii="Arial" w:cs="Arial" w:eastAsia="Arial" w:hAnsi="Arial"/>
          <w:sz w:val="21"/>
          <w:szCs w:val="21"/>
          <w:color w:val="auto"/>
        </w:rPr>
      </w:pPr>
    </w:p>
    <w:p>
      <w:pPr>
        <w:ind w:left="1300" w:hanging="644"/>
        <w:spacing w:after="0"/>
        <w:tabs>
          <w:tab w:leader="none" w:pos="1300"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Severance Compensation.</w:t>
      </w:r>
    </w:p>
    <w:p>
      <w:pPr>
        <w:spacing w:after="0" w:line="206" w:lineRule="exact"/>
        <w:rPr>
          <w:rFonts w:ascii="Arial" w:cs="Arial" w:eastAsia="Arial" w:hAnsi="Arial"/>
          <w:sz w:val="22"/>
          <w:szCs w:val="22"/>
          <w:color w:val="auto"/>
        </w:rPr>
      </w:pPr>
    </w:p>
    <w:p>
      <w:pPr>
        <w:ind w:firstLine="1304"/>
        <w:spacing w:after="0" w:line="274" w:lineRule="auto"/>
        <w:tabs>
          <w:tab w:leader="none" w:pos="1944" w:val="left"/>
        </w:tabs>
        <w:numPr>
          <w:ilvl w:val="2"/>
          <w:numId w:val="95"/>
        </w:numPr>
        <w:rPr>
          <w:rFonts w:ascii="Arial" w:cs="Arial" w:eastAsia="Arial" w:hAnsi="Arial"/>
          <w:sz w:val="19"/>
          <w:szCs w:val="19"/>
          <w:color w:val="auto"/>
        </w:rPr>
      </w:pPr>
      <w:r>
        <w:rPr>
          <w:rFonts w:ascii="Arial" w:cs="Arial" w:eastAsia="Arial" w:hAnsi="Arial"/>
          <w:sz w:val="19"/>
          <w:szCs w:val="19"/>
          <w:color w:val="auto"/>
        </w:rPr>
        <w:t>In the event of any termination of Executive’s employment for any reason, the Company shall pay Executive (or Executive’s estate) such portions of Executive’s base salary as have accrued prior to such termination and have not yet been paid, together with (i) amounts for accrued unused vacation days (as provided above), (ii) any amounts for expense reimbursement which have been properly incurred or the Company has become obligated to pay prior to termination and have not been paid as of the date of such termination and (iii) the amount of any Bonus previously granted to Executive by the Board but not yet paid, which amount shall not include any pro rata portion of any Bonus for the year of such termination which would have been earned if such termination had not occurred (the “Accrued Obligations”). Such Accrued Obligations shall be paid as soon as possible after termination, and in any event in accordance with applicable law.</w:t>
      </w:r>
    </w:p>
    <w:p>
      <w:pPr>
        <w:spacing w:after="0" w:line="158" w:lineRule="exact"/>
        <w:rPr>
          <w:rFonts w:ascii="Arial" w:cs="Arial" w:eastAsia="Arial" w:hAnsi="Arial"/>
          <w:sz w:val="19"/>
          <w:szCs w:val="19"/>
          <w:color w:val="auto"/>
        </w:rPr>
      </w:pPr>
    </w:p>
    <w:p>
      <w:pPr>
        <w:ind w:right="320" w:firstLine="1304"/>
        <w:spacing w:after="0" w:line="273" w:lineRule="auto"/>
        <w:tabs>
          <w:tab w:leader="none" w:pos="1944" w:val="left"/>
        </w:tabs>
        <w:numPr>
          <w:ilvl w:val="2"/>
          <w:numId w:val="95"/>
        </w:numPr>
        <w:rPr>
          <w:rFonts w:ascii="Arial" w:cs="Arial" w:eastAsia="Arial" w:hAnsi="Arial"/>
          <w:sz w:val="19"/>
          <w:szCs w:val="19"/>
          <w:color w:val="auto"/>
        </w:rPr>
      </w:pPr>
      <w:r>
        <w:rPr>
          <w:rFonts w:ascii="Arial" w:cs="Arial" w:eastAsia="Arial" w:hAnsi="Arial"/>
          <w:sz w:val="19"/>
          <w:szCs w:val="19"/>
          <w:color w:val="auto"/>
        </w:rPr>
        <w:t>In the event that Executive’s employment hereunder is terminated (i) by Executive for a Good Reason or (ii) by the Company without Cause, the Company shall pay to Executive the Accrued Obligations. In addition, the Company shall pay to Executive the severance benefits set forth below for twelve</w:t>
      </w:r>
    </w:p>
    <w:p>
      <w:pPr>
        <w:spacing w:after="0" w:line="1" w:lineRule="exact"/>
        <w:rPr>
          <w:rFonts w:ascii="Arial" w:cs="Arial" w:eastAsia="Arial" w:hAnsi="Arial"/>
          <w:sz w:val="19"/>
          <w:szCs w:val="19"/>
          <w:color w:val="auto"/>
        </w:rPr>
      </w:pPr>
    </w:p>
    <w:p>
      <w:pPr>
        <w:ind w:right="420" w:firstLine="8"/>
        <w:spacing w:after="0" w:line="287" w:lineRule="auto"/>
        <w:tabs>
          <w:tab w:leader="none" w:pos="414" w:val="left"/>
        </w:tabs>
        <w:numPr>
          <w:ilvl w:val="0"/>
          <w:numId w:val="96"/>
        </w:numPr>
        <w:rPr>
          <w:rFonts w:ascii="Arial" w:cs="Arial" w:eastAsia="Arial" w:hAnsi="Arial"/>
          <w:sz w:val="19"/>
          <w:szCs w:val="19"/>
          <w:color w:val="auto"/>
        </w:rPr>
      </w:pPr>
      <w:r>
        <w:rPr>
          <w:rFonts w:ascii="Arial" w:cs="Arial" w:eastAsia="Arial" w:hAnsi="Arial"/>
          <w:sz w:val="19"/>
          <w:szCs w:val="19"/>
          <w:color w:val="auto"/>
        </w:rPr>
        <w:t>months, or for eighteen (18) months if such termination occurs during the twelve (12) month period following a Corporate Change (the “Protected Period”), following Executive’s termination of employment (as applicable, the “Severance Period”). The receipt of any severance benefits provided in this Section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584835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22"/>
          <w:szCs w:val="22"/>
          <w:color w:val="auto"/>
        </w:rPr>
        <w:t>-7-</w:t>
      </w:r>
    </w:p>
    <w:p>
      <w:pPr>
        <w:spacing w:after="0" w:line="382"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dependent upon Executive’s execution and, to the extent applicable, non-revocation of a standard separation and general release of claims agreement, substantially in the form attached hereto as Exhibit A (the “Release”), which Release contains, among other things, a release of all releasable claims, non-disparagement and cooperation obligations, and a twelve-month post-employment non-competition provision, which Release must be signed and any applicable revocation period with respect thereto must have expired by the sixtieth (60</w:t>
      </w:r>
      <w:r>
        <w:rPr>
          <w:rFonts w:ascii="Arial" w:cs="Arial" w:eastAsia="Arial" w:hAnsi="Arial"/>
          <w:sz w:val="15"/>
          <w:szCs w:val="15"/>
          <w:color w:val="auto"/>
        </w:rPr>
        <w:t>th</w:t>
      </w:r>
      <w:r>
        <w:rPr>
          <w:rFonts w:ascii="Arial" w:cs="Arial" w:eastAsia="Arial" w:hAnsi="Arial"/>
          <w:sz w:val="21"/>
          <w:szCs w:val="21"/>
          <w:color w:val="auto"/>
        </w:rPr>
        <w:t>) day following Executive’s termination of employment. The severance benefits shall be paid or commence, as applicable, on the first payroll period following the date the Release becomes effective (the “Payment Date”). Notwithstanding the foregoing, if the 60</w:t>
      </w:r>
      <w:r>
        <w:rPr>
          <w:rFonts w:ascii="Arial" w:cs="Arial" w:eastAsia="Arial" w:hAnsi="Arial"/>
          <w:sz w:val="15"/>
          <w:szCs w:val="15"/>
          <w:color w:val="auto"/>
        </w:rPr>
        <w:t>th</w:t>
      </w:r>
      <w:r>
        <w:rPr>
          <w:rFonts w:ascii="Arial" w:cs="Arial" w:eastAsia="Arial" w:hAnsi="Arial"/>
          <w:sz w:val="21"/>
          <w:szCs w:val="21"/>
          <w:color w:val="auto"/>
        </w:rPr>
        <w:t xml:space="preserve"> day following Executive’s termination occurs in the calendar year following the date on which Executive’s employment terminates, then the Payment Date shall be no earlier than January 1 of such subsequent calendar year.</w:t>
      </w:r>
    </w:p>
    <w:p>
      <w:pPr>
        <w:spacing w:after="0" w:line="181" w:lineRule="exact"/>
        <w:rPr>
          <w:sz w:val="20"/>
          <w:szCs w:val="20"/>
          <w:color w:val="auto"/>
        </w:rPr>
      </w:pPr>
    </w:p>
    <w:p>
      <w:pPr>
        <w:ind w:left="660" w:right="80" w:firstLine="1292"/>
        <w:spacing w:after="0" w:line="279" w:lineRule="auto"/>
        <w:tabs>
          <w:tab w:leader="none" w:pos="2604"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The Company shall continue to pay Executive his base salary for the Severance Period in accordance with the Company’s payroll practice, beginning on the Payment Date; provided, that the first installment will include all amounts that otherwise would have been paid to Executive from the date his employment terminates through the Payment Date. Notwithstanding the foregoing, if Executive’s termination of employment occurs during the Protected Period, the Company shall pay Executive his base salary for the Severance Period in a lump sum on the Payment Date.</w:t>
      </w:r>
    </w:p>
    <w:p>
      <w:pPr>
        <w:spacing w:after="0" w:line="150" w:lineRule="exact"/>
        <w:rPr>
          <w:rFonts w:ascii="Arial" w:cs="Arial" w:eastAsia="Arial" w:hAnsi="Arial"/>
          <w:sz w:val="19"/>
          <w:szCs w:val="19"/>
          <w:color w:val="auto"/>
        </w:rPr>
      </w:pPr>
    </w:p>
    <w:p>
      <w:pPr>
        <w:ind w:left="660" w:firstLine="1292"/>
        <w:spacing w:after="0" w:line="236" w:lineRule="auto"/>
        <w:tabs>
          <w:tab w:leader="none" w:pos="2604" w:val="left"/>
        </w:tabs>
        <w:numPr>
          <w:ilvl w:val="1"/>
          <w:numId w:val="97"/>
        </w:numPr>
        <w:rPr>
          <w:rFonts w:ascii="Arial" w:cs="Arial" w:eastAsia="Arial" w:hAnsi="Arial"/>
          <w:sz w:val="22"/>
          <w:szCs w:val="22"/>
          <w:color w:val="auto"/>
        </w:rPr>
      </w:pPr>
      <w:r>
        <w:rPr>
          <w:rFonts w:ascii="Arial" w:cs="Arial" w:eastAsia="Arial" w:hAnsi="Arial"/>
          <w:sz w:val="22"/>
          <w:szCs w:val="22"/>
          <w:color w:val="auto"/>
        </w:rPr>
        <w:t>Only if Executive’s employment is terminated (A) by Executive for a Good Reason or (B) by the Company without Cause, in each case during the Protected Period, the Company shall pay Executive an amount equal to one and one-half times his target annual bonus, described in Section 3(b) hereof, for the year in which the termination of employment occurs, which total amount shall be payable in a lump sum on the Payment Date.</w:t>
      </w:r>
    </w:p>
    <w:p>
      <w:pPr>
        <w:spacing w:after="0" w:line="187" w:lineRule="exact"/>
        <w:rPr>
          <w:rFonts w:ascii="Arial" w:cs="Arial" w:eastAsia="Arial" w:hAnsi="Arial"/>
          <w:sz w:val="22"/>
          <w:szCs w:val="22"/>
          <w:color w:val="auto"/>
        </w:rPr>
      </w:pPr>
    </w:p>
    <w:p>
      <w:pPr>
        <w:ind w:left="660" w:right="100" w:firstLine="1292"/>
        <w:spacing w:after="0" w:line="236" w:lineRule="auto"/>
        <w:tabs>
          <w:tab w:leader="none" w:pos="2604" w:val="left"/>
        </w:tabs>
        <w:numPr>
          <w:ilvl w:val="1"/>
          <w:numId w:val="97"/>
        </w:numPr>
        <w:rPr>
          <w:rFonts w:ascii="Arial" w:cs="Arial" w:eastAsia="Arial" w:hAnsi="Arial"/>
          <w:sz w:val="22"/>
          <w:szCs w:val="22"/>
          <w:color w:val="auto"/>
        </w:rPr>
      </w:pPr>
      <w:r>
        <w:rPr>
          <w:rFonts w:ascii="Arial" w:cs="Arial" w:eastAsia="Arial" w:hAnsi="Arial"/>
          <w:sz w:val="22"/>
          <w:szCs w:val="22"/>
          <w:color w:val="auto"/>
        </w:rPr>
        <w:t>Only if Executive’s employment is terminated (A) by Executive for a Good Reason or (B) by the Company without Cause, in each case during the Protected Period, one hundred percent (100%) of Executive’s outstanding unvested equity awards granted under the Company’s equity and long-term incentive plan(s) prior to his termination (including, but not limited to, the Option) shall vest immediately.</w:t>
      </w:r>
    </w:p>
    <w:p>
      <w:pPr>
        <w:spacing w:after="0" w:line="187" w:lineRule="exact"/>
        <w:rPr>
          <w:rFonts w:ascii="Arial" w:cs="Arial" w:eastAsia="Arial" w:hAnsi="Arial"/>
          <w:sz w:val="22"/>
          <w:szCs w:val="22"/>
          <w:color w:val="auto"/>
        </w:rPr>
      </w:pPr>
    </w:p>
    <w:p>
      <w:pPr>
        <w:ind w:left="660" w:right="40" w:firstLine="1292"/>
        <w:spacing w:after="0" w:line="233" w:lineRule="auto"/>
        <w:tabs>
          <w:tab w:leader="none" w:pos="2604"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Company shall continue to provide Executive and his then- enrolled eligible dependents with group health insurance and shall continue to pay the amount of the premium as in effect on the date of such termination for the Severance Period commencing on the effective date of such termination, subject to applicable law and the terms of the respective policies and provided Executive elects and is eligible to continue receiving group health insurance pursuant to COBRA; provided that the Company’s obligation to provide the benefits contemplated herein shall terminate upon Executive’s becoming eligible for coverage under the medical benefits program of a subsequent employer. The foregoing shall not be construed to extend any period of continuation coverage (e.g., COBRA) required by Federal law.</w:t>
      </w:r>
    </w:p>
    <w:p>
      <w:pPr>
        <w:spacing w:after="0" w:line="192" w:lineRule="exact"/>
        <w:rPr>
          <w:rFonts w:ascii="Arial" w:cs="Arial" w:eastAsia="Arial" w:hAnsi="Arial"/>
          <w:sz w:val="22"/>
          <w:szCs w:val="22"/>
          <w:color w:val="auto"/>
        </w:rPr>
      </w:pPr>
    </w:p>
    <w:p>
      <w:pPr>
        <w:ind w:right="40" w:firstLine="1304"/>
        <w:spacing w:after="0"/>
        <w:tabs>
          <w:tab w:leader="none" w:pos="1944"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 the event that Executive’s employment hereunder is terminated (i) by Executive for other than a Good Reason, or (ii) by the Company for Cause, or (iii) as a result of Executive’s death or Disability, then the Company will pay to Executive the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22"/>
          <w:szCs w:val="22"/>
          <w:color w:val="auto"/>
        </w:rPr>
        <w:t>-8-</w:t>
      </w:r>
    </w:p>
    <w:p>
      <w:pPr>
        <w:spacing w:after="0" w:line="382" w:lineRule="exact"/>
        <w:rPr>
          <w:sz w:val="20"/>
          <w:szCs w:val="20"/>
          <w:color w:val="auto"/>
        </w:rPr>
      </w:pPr>
    </w:p>
    <w:p>
      <w:pPr>
        <w:ind w:right="1020"/>
        <w:spacing w:after="0" w:line="250" w:lineRule="auto"/>
        <w:rPr>
          <w:sz w:val="20"/>
          <w:szCs w:val="20"/>
          <w:color w:val="auto"/>
        </w:rPr>
      </w:pPr>
      <w:r>
        <w:rPr>
          <w:rFonts w:ascii="Arial" w:cs="Arial" w:eastAsia="Arial" w:hAnsi="Arial"/>
          <w:sz w:val="22"/>
          <w:szCs w:val="22"/>
          <w:color w:val="auto"/>
        </w:rPr>
        <w:t>Obligations. The Company shall have no obligation to pay Executive (or Executive’s estate) any other compensation following such termination except as provided in Section 4(a).</w:t>
      </w:r>
    </w:p>
    <w:p>
      <w:pPr>
        <w:spacing w:after="0" w:line="175" w:lineRule="exact"/>
        <w:rPr>
          <w:sz w:val="20"/>
          <w:szCs w:val="20"/>
          <w:color w:val="auto"/>
        </w:rPr>
      </w:pPr>
    </w:p>
    <w:p>
      <w:pPr>
        <w:ind w:right="280" w:firstLine="1304"/>
        <w:spacing w:after="0" w:line="249" w:lineRule="auto"/>
        <w:tabs>
          <w:tab w:leader="none" w:pos="1944"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Compliance with Section 409A</w:t>
      </w:r>
      <w:r>
        <w:rPr>
          <w:rFonts w:ascii="Arial" w:cs="Arial" w:eastAsia="Arial" w:hAnsi="Arial"/>
          <w:sz w:val="21"/>
          <w:szCs w:val="21"/>
          <w:color w:val="auto"/>
        </w:rPr>
        <w:t>. Subject to the provisions in this Section 4(d), any severance payments or benefits under this Agreement shall begin only upon the date of Executive’s “separation from service” (determined as set forth below) which occurs on or after the date of termination of Executive’s employment. The following rules shall apply with respect to the distribution of the severance payments and benefits, if any, to be provided to Executive under this Agreement:</w:t>
      </w:r>
    </w:p>
    <w:p>
      <w:pPr>
        <w:spacing w:after="0" w:line="178" w:lineRule="exact"/>
        <w:rPr>
          <w:rFonts w:ascii="Arial" w:cs="Arial" w:eastAsia="Arial" w:hAnsi="Arial"/>
          <w:sz w:val="21"/>
          <w:szCs w:val="21"/>
          <w:color w:val="auto"/>
        </w:rPr>
      </w:pPr>
    </w:p>
    <w:p>
      <w:pPr>
        <w:ind w:left="660" w:right="60" w:firstLine="1292"/>
        <w:spacing w:after="0" w:line="287" w:lineRule="auto"/>
        <w:tabs>
          <w:tab w:leader="none" w:pos="2604" w:val="left"/>
        </w:tabs>
        <w:numPr>
          <w:ilvl w:val="1"/>
          <w:numId w:val="99"/>
        </w:numPr>
        <w:rPr>
          <w:rFonts w:ascii="Arial" w:cs="Arial" w:eastAsia="Arial" w:hAnsi="Arial"/>
          <w:sz w:val="19"/>
          <w:szCs w:val="19"/>
          <w:color w:val="auto"/>
        </w:rPr>
      </w:pPr>
      <w:r>
        <w:rPr>
          <w:rFonts w:ascii="Arial" w:cs="Arial" w:eastAsia="Arial" w:hAnsi="Arial"/>
          <w:sz w:val="19"/>
          <w:szCs w:val="19"/>
          <w:color w:val="auto"/>
        </w:rPr>
        <w:t>It is intended that each installment of the severance payments and benefits provided under this Agreement shall be treated as a separate “payment” for purposes of Section 409A. Neither the Company nor Executive shall have the right to accelerate or defer the delivery of any such payments or benefits except to the extent specifically permitted or required by Section 409A.</w:t>
      </w:r>
    </w:p>
    <w:p>
      <w:pPr>
        <w:spacing w:after="0" w:line="142" w:lineRule="exact"/>
        <w:rPr>
          <w:rFonts w:ascii="Arial" w:cs="Arial" w:eastAsia="Arial" w:hAnsi="Arial"/>
          <w:sz w:val="19"/>
          <w:szCs w:val="19"/>
          <w:color w:val="auto"/>
        </w:rPr>
      </w:pPr>
    </w:p>
    <w:p>
      <w:pPr>
        <w:ind w:left="660" w:right="260" w:firstLine="1292"/>
        <w:spacing w:after="0" w:line="297" w:lineRule="auto"/>
        <w:tabs>
          <w:tab w:leader="none" w:pos="2604" w:val="left"/>
        </w:tabs>
        <w:numPr>
          <w:ilvl w:val="1"/>
          <w:numId w:val="99"/>
        </w:numPr>
        <w:rPr>
          <w:rFonts w:ascii="Arial" w:cs="Arial" w:eastAsia="Arial" w:hAnsi="Arial"/>
          <w:sz w:val="19"/>
          <w:szCs w:val="19"/>
          <w:color w:val="auto"/>
        </w:rPr>
      </w:pPr>
      <w:r>
        <w:rPr>
          <w:rFonts w:ascii="Arial" w:cs="Arial" w:eastAsia="Arial" w:hAnsi="Arial"/>
          <w:sz w:val="19"/>
          <w:szCs w:val="19"/>
          <w:color w:val="auto"/>
        </w:rPr>
        <w:t>If, as of the date of Executive’s “separation from service” from the Company, Executive is not a “specified employee” (within the meaning of Section 409A), then each installment of the severance payments and benefits shall be made on the dates and terms set forth in this Agreement.</w:t>
      </w:r>
    </w:p>
    <w:p>
      <w:pPr>
        <w:spacing w:after="0" w:line="133" w:lineRule="exact"/>
        <w:rPr>
          <w:rFonts w:ascii="Arial" w:cs="Arial" w:eastAsia="Arial" w:hAnsi="Arial"/>
          <w:sz w:val="19"/>
          <w:szCs w:val="19"/>
          <w:color w:val="auto"/>
        </w:rPr>
      </w:pPr>
    </w:p>
    <w:p>
      <w:pPr>
        <w:ind w:left="660" w:right="600" w:firstLine="1292"/>
        <w:spacing w:after="0" w:line="274" w:lineRule="auto"/>
        <w:tabs>
          <w:tab w:leader="none" w:pos="2604" w:val="left"/>
        </w:tabs>
        <w:numPr>
          <w:ilvl w:val="1"/>
          <w:numId w:val="99"/>
        </w:numPr>
        <w:rPr>
          <w:rFonts w:ascii="Arial" w:cs="Arial" w:eastAsia="Arial" w:hAnsi="Arial"/>
          <w:sz w:val="21"/>
          <w:szCs w:val="21"/>
          <w:color w:val="auto"/>
        </w:rPr>
      </w:pPr>
      <w:r>
        <w:rPr>
          <w:rFonts w:ascii="Arial" w:cs="Arial" w:eastAsia="Arial" w:hAnsi="Arial"/>
          <w:sz w:val="21"/>
          <w:szCs w:val="21"/>
          <w:color w:val="auto"/>
        </w:rPr>
        <w:t>If, as of the date of Executive’s “separation from service” from the Company, Executive is a “specified employee” (within the meaning of Section 409A), then:</w:t>
      </w:r>
    </w:p>
    <w:p>
      <w:pPr>
        <w:spacing w:after="0" w:line="150" w:lineRule="exact"/>
        <w:rPr>
          <w:rFonts w:ascii="Arial" w:cs="Arial" w:eastAsia="Arial" w:hAnsi="Arial"/>
          <w:sz w:val="21"/>
          <w:szCs w:val="21"/>
          <w:color w:val="auto"/>
        </w:rPr>
      </w:pPr>
    </w:p>
    <w:p>
      <w:pPr>
        <w:ind w:left="1300" w:firstLine="1300"/>
        <w:spacing w:after="0" w:line="234" w:lineRule="auto"/>
        <w:tabs>
          <w:tab w:leader="none" w:pos="3244" w:val="left"/>
        </w:tabs>
        <w:numPr>
          <w:ilvl w:val="2"/>
          <w:numId w:val="99"/>
        </w:numPr>
        <w:rPr>
          <w:rFonts w:ascii="Arial" w:cs="Arial" w:eastAsia="Arial" w:hAnsi="Arial"/>
          <w:sz w:val="22"/>
          <w:szCs w:val="22"/>
          <w:color w:val="auto"/>
        </w:rPr>
      </w:pPr>
      <w:r>
        <w:rPr>
          <w:rFonts w:ascii="Arial" w:cs="Arial" w:eastAsia="Arial" w:hAnsi="Arial"/>
          <w:sz w:val="22"/>
          <w:szCs w:val="22"/>
          <w:color w:val="auto"/>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 such payments and benefits shall be paid or provided on the dates and terms set forth in this Agreement; and</w:t>
      </w:r>
    </w:p>
    <w:p>
      <w:pPr>
        <w:spacing w:after="0" w:line="190" w:lineRule="exact"/>
        <w:rPr>
          <w:rFonts w:ascii="Arial" w:cs="Arial" w:eastAsia="Arial" w:hAnsi="Arial"/>
          <w:sz w:val="22"/>
          <w:szCs w:val="22"/>
          <w:color w:val="auto"/>
        </w:rPr>
      </w:pPr>
    </w:p>
    <w:p>
      <w:pPr>
        <w:ind w:left="1300" w:right="20" w:firstLine="1300"/>
        <w:spacing w:after="0" w:line="273" w:lineRule="auto"/>
        <w:tabs>
          <w:tab w:leader="none" w:pos="3244" w:val="left"/>
        </w:tabs>
        <w:numPr>
          <w:ilvl w:val="2"/>
          <w:numId w:val="99"/>
        </w:numPr>
        <w:rPr>
          <w:rFonts w:ascii="Arial" w:cs="Arial" w:eastAsia="Arial" w:hAnsi="Arial"/>
          <w:sz w:val="19"/>
          <w:szCs w:val="19"/>
          <w:color w:val="auto"/>
        </w:rPr>
      </w:pPr>
      <w:r>
        <w:rPr>
          <w:rFonts w:ascii="Arial" w:cs="Arial" w:eastAsia="Arial" w:hAnsi="Arial"/>
          <w:sz w:val="19"/>
          <w:szCs w:val="19"/>
          <w:color w:val="auto"/>
        </w:rPr>
        <w:t>Each installment of the severance payments and benefits due this Agreement that is not described in Section 4(d)(iii)(A) above and that would, absent this subsection (B), be paid within the six-month period following Executive’s “separation from service” from the Company shall not be paid until the date that is six months and one day after such separation from service (or, if earlier, Executive’s death), with any such installments that are required to be delayed being accumulated during the six-month period and paid in a lump sum on the date that is six months and one day following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592455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58" w:right="1019" w:bottom="1440" w:gutter="0" w:footer="0" w:header="0"/>
        </w:sectPr>
      </w:pPr>
    </w:p>
    <w:bookmarkStart w:id="201" w:name="page202"/>
    <w:bookmarkEnd w:id="201"/>
    <w:p>
      <w:pPr>
        <w:jc w:val="center"/>
        <w:ind w:right="400"/>
        <w:spacing w:after="0"/>
        <w:rPr>
          <w:sz w:val="20"/>
          <w:szCs w:val="20"/>
          <w:color w:val="auto"/>
        </w:rPr>
      </w:pPr>
      <w:r>
        <w:rPr>
          <w:rFonts w:ascii="Arial" w:cs="Arial" w:eastAsia="Arial" w:hAnsi="Arial"/>
          <w:sz w:val="22"/>
          <w:szCs w:val="22"/>
          <w:color w:val="auto"/>
        </w:rPr>
        <w:t>-9-</w:t>
      </w:r>
    </w:p>
    <w:p>
      <w:pPr>
        <w:spacing w:after="0" w:line="382" w:lineRule="exact"/>
        <w:rPr>
          <w:sz w:val="20"/>
          <w:szCs w:val="20"/>
          <w:color w:val="auto"/>
        </w:rPr>
      </w:pPr>
    </w:p>
    <w:p>
      <w:pPr>
        <w:ind w:left="840" w:right="100"/>
        <w:spacing w:after="0" w:line="236" w:lineRule="auto"/>
        <w:rPr>
          <w:sz w:val="20"/>
          <w:szCs w:val="20"/>
          <w:color w:val="auto"/>
        </w:rPr>
      </w:pPr>
      <w:r>
        <w:rPr>
          <w:rFonts w:ascii="Arial" w:cs="Arial" w:eastAsia="Arial" w:hAnsi="Arial"/>
          <w:sz w:val="22"/>
          <w:szCs w:val="22"/>
          <w:color w:val="auto"/>
        </w:rPr>
        <w:t>by reason of the application of Treasury Regulation 1.409A-1(b)(9)(iii) (relating to separation pay upon an involuntary separation from service). Any installments that qualify for the exception under Treasury Regulation Section 1.409A-1(b)(9)(iii) must be paid no later than the last day of Executive’s second taxable year following the taxable year in which the separation from service occurs.</w:t>
      </w:r>
    </w:p>
    <w:p>
      <w:pPr>
        <w:spacing w:after="0" w:line="187" w:lineRule="exact"/>
        <w:rPr>
          <w:sz w:val="20"/>
          <w:szCs w:val="20"/>
          <w:color w:val="auto"/>
        </w:rPr>
      </w:pPr>
    </w:p>
    <w:p>
      <w:pPr>
        <w:ind w:left="200" w:right="180" w:firstLine="1292"/>
        <w:spacing w:after="0" w:line="249" w:lineRule="auto"/>
        <w:tabs>
          <w:tab w:leader="none" w:pos="2144" w:val="left"/>
        </w:tabs>
        <w:numPr>
          <w:ilvl w:val="2"/>
          <w:numId w:val="100"/>
        </w:numPr>
        <w:rPr>
          <w:rFonts w:ascii="Arial" w:cs="Arial" w:eastAsia="Arial" w:hAnsi="Arial"/>
          <w:sz w:val="21"/>
          <w:szCs w:val="21"/>
          <w:color w:val="auto"/>
        </w:rPr>
      </w:pPr>
      <w:r>
        <w:rPr>
          <w:rFonts w:ascii="Arial" w:cs="Arial" w:eastAsia="Arial" w:hAnsi="Arial"/>
          <w:sz w:val="21"/>
          <w:szCs w:val="21"/>
          <w:color w:val="auto"/>
        </w:rPr>
        <w:t>The determination of whether and when Executive’s separation from service from the Company has occurred shall be made in a manner consistent with, and based on the presumptions set forth in, Treasury Regulation Section 1.409A-1(h). Solely for purposes of this Section 4(d)(iv), “Company” shall include all persons with whom the Company would be considered a single employer under Section 414(b) and 414(c) of the Code.</w:t>
      </w:r>
    </w:p>
    <w:p>
      <w:pPr>
        <w:spacing w:after="0" w:line="178" w:lineRule="exact"/>
        <w:rPr>
          <w:rFonts w:ascii="Arial" w:cs="Arial" w:eastAsia="Arial" w:hAnsi="Arial"/>
          <w:sz w:val="21"/>
          <w:szCs w:val="21"/>
          <w:color w:val="auto"/>
        </w:rPr>
      </w:pPr>
    </w:p>
    <w:p>
      <w:pPr>
        <w:ind w:left="200" w:right="20" w:firstLine="1292"/>
        <w:spacing w:after="0" w:line="270" w:lineRule="auto"/>
        <w:tabs>
          <w:tab w:leader="none" w:pos="2144" w:val="left"/>
        </w:tabs>
        <w:numPr>
          <w:ilvl w:val="2"/>
          <w:numId w:val="100"/>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w:t>
      </w:r>
    </w:p>
    <w:p>
      <w:pPr>
        <w:spacing w:after="0" w:line="1" w:lineRule="exact"/>
        <w:rPr>
          <w:rFonts w:ascii="Arial" w:cs="Arial" w:eastAsia="Arial" w:hAnsi="Arial"/>
          <w:sz w:val="19"/>
          <w:szCs w:val="19"/>
          <w:color w:val="auto"/>
        </w:rPr>
      </w:pPr>
    </w:p>
    <w:p>
      <w:pPr>
        <w:ind w:left="200" w:hanging="4"/>
        <w:spacing w:after="0" w:line="234" w:lineRule="auto"/>
        <w:tabs>
          <w:tab w:leader="none" w:pos="57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7" w:lineRule="exact"/>
        <w:rPr>
          <w:rFonts w:ascii="Arial" w:cs="Arial" w:eastAsia="Arial" w:hAnsi="Arial"/>
          <w:sz w:val="22"/>
          <w:szCs w:val="22"/>
          <w:color w:val="auto"/>
        </w:rPr>
      </w:pPr>
    </w:p>
    <w:p>
      <w:pPr>
        <w:ind w:left="200" w:right="540" w:firstLine="1292"/>
        <w:spacing w:after="0" w:line="297" w:lineRule="auto"/>
        <w:tabs>
          <w:tab w:leader="none" w:pos="2144" w:val="left"/>
        </w:tabs>
        <w:numPr>
          <w:ilvl w:val="2"/>
          <w:numId w:val="101"/>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Company shall have no liability to Executive or to any other person if the payments and benefits provided hereunder that are intended to be exempt from or compliant with Section 409A are not so exempt or compliant.</w:t>
      </w:r>
    </w:p>
    <w:p>
      <w:pPr>
        <w:spacing w:after="0" w:line="133" w:lineRule="exact"/>
        <w:rPr>
          <w:rFonts w:ascii="Arial" w:cs="Arial" w:eastAsia="Arial" w:hAnsi="Arial"/>
          <w:sz w:val="19"/>
          <w:szCs w:val="19"/>
          <w:color w:val="auto"/>
        </w:rPr>
      </w:pPr>
    </w:p>
    <w:p>
      <w:pPr>
        <w:ind w:left="1500" w:hanging="656"/>
        <w:spacing w:after="0"/>
        <w:tabs>
          <w:tab w:leader="none" w:pos="1500"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Modified Section 280G Cutback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0" w:right="40" w:firstLine="1292"/>
        <w:spacing w:after="0" w:line="274" w:lineRule="auto"/>
        <w:tabs>
          <w:tab w:leader="none" w:pos="2144" w:val="left"/>
        </w:tabs>
        <w:numPr>
          <w:ilvl w:val="2"/>
          <w:numId w:val="102"/>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except as set forth in Section 4(e)(ii), in the event that the Company undergoes a “Change in Ownership or Control” (as defined below), the Company shall not be obligated to provide to Executive a portion of any “Contingent Compensation Payments” (as defined below) that Executive would otherwise be entitled to receive to the extent necessary to eliminate any “excess parachute payments” (as defined in Section 280G(b)(1) of the Code) for Executive. For purposes of this Section 4(e),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58" w:lineRule="exact"/>
        <w:rPr>
          <w:rFonts w:ascii="Arial" w:cs="Arial" w:eastAsia="Arial" w:hAnsi="Arial"/>
          <w:sz w:val="19"/>
          <w:szCs w:val="19"/>
          <w:color w:val="auto"/>
        </w:rPr>
      </w:pPr>
    </w:p>
    <w:p>
      <w:pPr>
        <w:ind w:left="200" w:right="140" w:firstLine="1292"/>
        <w:spacing w:after="0"/>
        <w:tabs>
          <w:tab w:leader="none" w:pos="2144" w:val="left"/>
        </w:tabs>
        <w:numPr>
          <w:ilvl w:val="2"/>
          <w:numId w:val="102"/>
        </w:numPr>
        <w:rPr>
          <w:rFonts w:ascii="Arial" w:cs="Arial" w:eastAsia="Arial" w:hAnsi="Arial"/>
          <w:sz w:val="22"/>
          <w:szCs w:val="22"/>
          <w:color w:val="auto"/>
        </w:rPr>
      </w:pPr>
      <w:r>
        <w:rPr>
          <w:rFonts w:ascii="Arial" w:cs="Arial" w:eastAsia="Arial" w:hAnsi="Arial"/>
          <w:sz w:val="22"/>
          <w:szCs w:val="22"/>
          <w:color w:val="auto"/>
        </w:rPr>
        <w:t>Notwithstanding the provisions of Section 4(e)(i), no such reduction in Contingent Compensation Payments shall be made if (1) the Eliminated Amount (computed without regard to this sentence) exceeds (2) 100% of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612140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20"/>
          </w:cols>
          <w:pgMar w:left="1440" w:top="658" w:right="1039" w:bottom="1440" w:gutter="0" w:footer="0" w:header="0"/>
        </w:sectPr>
      </w:pPr>
    </w:p>
    <w:bookmarkStart w:id="202" w:name="page203"/>
    <w:bookmarkEnd w:id="202"/>
    <w:p>
      <w:pPr>
        <w:jc w:val="center"/>
        <w:ind w:right="440"/>
        <w:spacing w:after="0"/>
        <w:rPr>
          <w:sz w:val="20"/>
          <w:szCs w:val="20"/>
          <w:color w:val="auto"/>
        </w:rPr>
      </w:pPr>
      <w:r>
        <w:rPr>
          <w:rFonts w:ascii="Arial" w:cs="Arial" w:eastAsia="Arial" w:hAnsi="Arial"/>
          <w:sz w:val="22"/>
          <w:szCs w:val="22"/>
          <w:color w:val="auto"/>
        </w:rPr>
        <w:t>-10-</w:t>
      </w:r>
    </w:p>
    <w:p>
      <w:pPr>
        <w:spacing w:after="0" w:line="382" w:lineRule="exact"/>
        <w:rPr>
          <w:sz w:val="20"/>
          <w:szCs w:val="20"/>
          <w:color w:val="auto"/>
        </w:rPr>
      </w:pPr>
    </w:p>
    <w:p>
      <w:pPr>
        <w:ind w:left="200"/>
        <w:spacing w:after="0" w:line="244" w:lineRule="auto"/>
        <w:rPr>
          <w:sz w:val="20"/>
          <w:szCs w:val="20"/>
          <w:color w:val="auto"/>
        </w:rPr>
      </w:pPr>
      <w:r>
        <w:rPr>
          <w:rFonts w:ascii="Arial" w:cs="Arial" w:eastAsia="Arial" w:hAnsi="Arial"/>
          <w:sz w:val="21"/>
          <w:szCs w:val="21"/>
          <w:color w:val="auto"/>
        </w:rPr>
        <w:t>present value (determined in accordance with Treasury Regulation Section 1.280G-1, Q/A-31 and Q/A-32 or any successor provisions) of the amount of any additional taxes that would be incurred by Executive if the Eliminated Payments (determined without regard to this sentence) were paid to him (including federal and state income taxes on the Eliminated Payments, the excise tax imposed by Section 4999 of the Code payable with respect to all of the Contingent Compensation Payments in excess of Executive’s “base amount” (as defined in Section 280G(b)(3) of the Code), and any withholding taxes). The override of such reduction in Contingent Compensation Payments pursuant to this Section 4(e)(ii) shall be referred to as a “Section 4(e)(ii)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188" w:lineRule="exact"/>
        <w:rPr>
          <w:sz w:val="20"/>
          <w:szCs w:val="20"/>
          <w:color w:val="auto"/>
        </w:rPr>
      </w:pPr>
    </w:p>
    <w:p>
      <w:pPr>
        <w:ind w:left="2140" w:hanging="648"/>
        <w:spacing w:after="0"/>
        <w:tabs>
          <w:tab w:leader="none" w:pos="214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For purposes of this Section 4(e) the following terms shall have the following</w:t>
      </w:r>
    </w:p>
    <w:p>
      <w:pPr>
        <w:spacing w:after="0" w:line="19"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2"/>
          <w:szCs w:val="22"/>
          <w:color w:val="auto"/>
        </w:rPr>
        <w:t>respective meanings:</w:t>
      </w:r>
    </w:p>
    <w:p>
      <w:pPr>
        <w:spacing w:after="0" w:line="188" w:lineRule="exact"/>
        <w:rPr>
          <w:sz w:val="20"/>
          <w:szCs w:val="20"/>
          <w:color w:val="auto"/>
        </w:rPr>
      </w:pPr>
    </w:p>
    <w:p>
      <w:pPr>
        <w:ind w:left="840" w:right="320" w:firstLine="652"/>
        <w:spacing w:after="0" w:line="257" w:lineRule="auto"/>
        <w:tabs>
          <w:tab w:leader="none" w:pos="213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69" w:lineRule="exact"/>
        <w:rPr>
          <w:rFonts w:ascii="Arial" w:cs="Arial" w:eastAsia="Arial" w:hAnsi="Arial"/>
          <w:sz w:val="21"/>
          <w:szCs w:val="21"/>
          <w:color w:val="auto"/>
        </w:rPr>
      </w:pPr>
    </w:p>
    <w:p>
      <w:pPr>
        <w:jc w:val="both"/>
        <w:ind w:left="840" w:right="40" w:firstLine="652"/>
        <w:spacing w:after="0" w:line="236" w:lineRule="auto"/>
        <w:tabs>
          <w:tab w:leader="none" w:pos="213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87" w:lineRule="exact"/>
        <w:rPr>
          <w:sz w:val="20"/>
          <w:szCs w:val="20"/>
          <w:color w:val="auto"/>
        </w:rPr>
      </w:pPr>
    </w:p>
    <w:p>
      <w:pPr>
        <w:ind w:left="200" w:right="20" w:firstLine="1292"/>
        <w:spacing w:after="0" w:line="271" w:lineRule="auto"/>
        <w:tabs>
          <w:tab w:leader="none" w:pos="214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Any payments or other benefits otherwise due to Executive following a Change in Ownership or Control that could reasonably be characterized (as determined by the Company) as Contingent Compensation Payments (the “Potential Payments”) shall not be made until the dates provided for in this Section 4(e)(iv). Within 30 days after each date on which Executive first becomes entitled to receive (whether or not then due) a Contingent Compensation Payment relating to such Change in Ownership or Control, the Company shall determine and notify Executive (with reasonable detail regarding the basis for its determinations) (1) which Potential Payments constitute Contingent Compensation Payments, (2) the Eliminated Amount and (3) whether the Section 4(e)(ii) Override is applicable. Within 30 days after delivery of such notice to Executive, Executive shall deliver a response to the Company (the “Executive Response”) stating either (A) that he agrees with the Company’s determination pursuant to the preceding sentence or (B) that he disagrees with such determination, in which case he shall set forth (x) which Potential Payments should be characterized as Contingent Compensation Payments, (y) the Eliminated Amount, and (z) whether the Section 4(e)(ii) Override is applicable. In the event that Executive fails to deliver an Executive Response on or before the required date, the Company’s initial determination shall be final. If Executive states in the Executive Response that he agrees with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749935</wp:posOffset>
            </wp:positionV>
            <wp:extent cx="629221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203" w:name="page204"/>
    <w:bookmarkEnd w:id="203"/>
    <w:p>
      <w:pPr>
        <w:jc w:val="center"/>
        <w:ind w:right="420"/>
        <w:spacing w:after="0"/>
        <w:rPr>
          <w:sz w:val="20"/>
          <w:szCs w:val="20"/>
          <w:color w:val="auto"/>
        </w:rPr>
      </w:pPr>
      <w:r>
        <w:rPr>
          <w:rFonts w:ascii="Arial" w:cs="Arial" w:eastAsia="Arial" w:hAnsi="Arial"/>
          <w:sz w:val="22"/>
          <w:szCs w:val="22"/>
          <w:color w:val="auto"/>
        </w:rPr>
        <w:t>-11-</w:t>
      </w:r>
    </w:p>
    <w:p>
      <w:pPr>
        <w:spacing w:after="0" w:line="382" w:lineRule="exact"/>
        <w:rPr>
          <w:sz w:val="20"/>
          <w:szCs w:val="20"/>
          <w:color w:val="auto"/>
        </w:rPr>
      </w:pPr>
    </w:p>
    <w:p>
      <w:pPr>
        <w:ind w:left="200"/>
        <w:spacing w:after="0" w:line="271" w:lineRule="auto"/>
        <w:rPr>
          <w:sz w:val="20"/>
          <w:szCs w:val="20"/>
          <w:color w:val="auto"/>
        </w:rPr>
      </w:pPr>
      <w:r>
        <w:rPr>
          <w:rFonts w:ascii="Arial" w:cs="Arial" w:eastAsia="Arial" w:hAnsi="Arial"/>
          <w:sz w:val="19"/>
          <w:szCs w:val="19"/>
          <w:color w:val="auto"/>
        </w:rPr>
        <w:t>determination, the Company shall make the Potential Payments to Executive within three business days following delivery to the Company of the Executive Response (except for any Potential Payments which are not due to be made until after such date, which Potential Payments shall be made on the date on which they are due). If Executive states in the Executive Response that he disagrees with the Company’s determination, then, for a period of 60 days following delivery of the Executive Response, Executive and the Company shall use good faith efforts to resolve such dispute. If such dispute is not resolved within such 60-day period, such dispute shall be settled exclusively by arbitration in the greater Boston, Massachusetts area, in accordance with the rules of the American Arbitration Association then in effect. Judgment may be entered on the arbitrator’s award in any court having jurisdiction. The Company shall, within three business days following delivery to the Company of the Executive Response, make to Executive those Potential Payments as to which there is no dispute between the Company and Executive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w:t>
      </w:r>
    </w:p>
    <w:p>
      <w:pPr>
        <w:spacing w:after="0" w:line="200" w:lineRule="exact"/>
        <w:rPr>
          <w:sz w:val="20"/>
          <w:szCs w:val="20"/>
          <w:color w:val="auto"/>
        </w:rPr>
      </w:pPr>
    </w:p>
    <w:p>
      <w:pPr>
        <w:spacing w:after="0" w:line="207" w:lineRule="exact"/>
        <w:rPr>
          <w:sz w:val="20"/>
          <w:szCs w:val="20"/>
          <w:color w:val="auto"/>
        </w:rPr>
      </w:pPr>
    </w:p>
    <w:p>
      <w:pPr>
        <w:ind w:left="200" w:firstLine="1292"/>
        <w:spacing w:after="0" w:line="270" w:lineRule="auto"/>
        <w:tabs>
          <w:tab w:leader="none" w:pos="214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Payments with a lower Contingent Compensation Payment Ratio. The term “Contingent Compensation Payment Ratio” shall mean a fraction the numerator of which is the value of the applicable Contingent Compensation Payment that must be taken into account by Executive for purposes of Section 4999(a) of the Code, and the denominator of which is the actual amount to be received by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1.280G-1Q/A-24(b) or (c)).</w:t>
      </w:r>
    </w:p>
    <w:p>
      <w:pPr>
        <w:spacing w:after="0" w:line="162" w:lineRule="exact"/>
        <w:rPr>
          <w:rFonts w:ascii="Arial" w:cs="Arial" w:eastAsia="Arial" w:hAnsi="Arial"/>
          <w:sz w:val="19"/>
          <w:szCs w:val="19"/>
          <w:color w:val="auto"/>
        </w:rPr>
      </w:pPr>
    </w:p>
    <w:p>
      <w:pPr>
        <w:ind w:left="200" w:right="100" w:firstLine="1292"/>
        <w:spacing w:after="0"/>
        <w:tabs>
          <w:tab w:leader="none" w:pos="214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provisions of this Section 4(e) are intended to apply to any and all payments or benefits available to Executive under this Agreement or any other agreement or plan of the Company under which Executive receives Contingent Compensation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612140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658" w:right="1019" w:bottom="1440" w:gutter="0" w:footer="0" w:header="0"/>
        </w:sectPr>
      </w:pPr>
    </w:p>
    <w:bookmarkStart w:id="204" w:name="page205"/>
    <w:bookmarkEnd w:id="204"/>
    <w:p>
      <w:pPr>
        <w:jc w:val="center"/>
        <w:spacing w:after="0"/>
        <w:rPr>
          <w:sz w:val="20"/>
          <w:szCs w:val="20"/>
          <w:color w:val="auto"/>
        </w:rPr>
      </w:pPr>
      <w:r>
        <w:rPr>
          <w:rFonts w:ascii="Arial" w:cs="Arial" w:eastAsia="Arial" w:hAnsi="Arial"/>
          <w:sz w:val="22"/>
          <w:szCs w:val="22"/>
          <w:color w:val="auto"/>
        </w:rPr>
        <w:t>-12-</w:t>
      </w:r>
    </w:p>
    <w:p>
      <w:pPr>
        <w:spacing w:after="0" w:line="382" w:lineRule="exact"/>
        <w:rPr>
          <w:sz w:val="20"/>
          <w:szCs w:val="20"/>
          <w:color w:val="auto"/>
        </w:rPr>
      </w:pPr>
    </w:p>
    <w:p>
      <w:pPr>
        <w:ind w:left="1280" w:hanging="644"/>
        <w:spacing w:after="0"/>
        <w:tabs>
          <w:tab w:leader="none" w:pos="128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Employee Covenants.</w:t>
      </w:r>
    </w:p>
    <w:p>
      <w:pPr>
        <w:spacing w:after="0" w:line="206" w:lineRule="exact"/>
        <w:rPr>
          <w:rFonts w:ascii="Arial" w:cs="Arial" w:eastAsia="Arial" w:hAnsi="Arial"/>
          <w:sz w:val="22"/>
          <w:szCs w:val="22"/>
          <w:color w:val="auto"/>
        </w:rPr>
      </w:pPr>
    </w:p>
    <w:p>
      <w:pPr>
        <w:ind w:left="-20" w:firstLine="1304"/>
        <w:spacing w:after="0" w:line="270" w:lineRule="auto"/>
        <w:tabs>
          <w:tab w:leader="none" w:pos="1924"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recognizes and acknowledges the competitive and proprietary aspects of the business of the Company, and that as a result of Executive’s employment, Executive recognizes and acknowledges that he has had and will continue to have access to, and has been and will continue to be involved in the development of, Confidential Information (as defined below) of the Company. As used herein, “Confidential Information” shall mean and include trade secrets, knowledge and other confidential information of the Company, which Executive has acquired, no matter from whom or on what matter such knowledge or information may have been acquired, heretofore or hereafter, concerning the content and details of the business of the Company, and which is not known to the general public, including but not limited to: confidential and proprietary information supplied to Executive with the legend “Confidential and Proprietary,” or equivalent, the Company’s marketing and customer support strategies, suppliers and customers, marketing and selling, business plans, licenses, the Company’s financial information, including sales, costs, profits, prices, pricing methods, budgets and unpublished financial statements, the Company’s internal organization, employee information obtained pursuant to Executive’s duties and responsibilities, information regarding the skills and compensation of other employees of the Company obtained pursuant to Executive’s duties and responsibilities and customer lists, the Company’s technology, including products, discoveries, inventions, research, experimental and development efforts, clinical studies, processes, hardware/software design and maintenance tools, samples, media and/or molecular structures (and procedures and formulations for producing any such samples, media and/or molecular structures), formulas, methods, know-how and show-how, designs, prototypes, plans for research and new products, and all derivatives, improvements and enhancements of any of the above and information of third parties as to which the Company has an obligation of confidentiality.</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640" w:right="20" w:firstLine="1292"/>
        <w:spacing w:after="0" w:line="244" w:lineRule="auto"/>
        <w:tabs>
          <w:tab w:leader="none" w:pos="2584" w:val="left"/>
        </w:tabs>
        <w:numPr>
          <w:ilvl w:val="2"/>
          <w:numId w:val="107"/>
        </w:numPr>
        <w:rPr>
          <w:rFonts w:ascii="Arial" w:cs="Arial" w:eastAsia="Arial" w:hAnsi="Arial"/>
          <w:sz w:val="21"/>
          <w:szCs w:val="21"/>
          <w:color w:val="auto"/>
        </w:rPr>
      </w:pPr>
      <w:r>
        <w:rPr>
          <w:rFonts w:ascii="Arial" w:cs="Arial" w:eastAsia="Arial" w:hAnsi="Arial"/>
          <w:sz w:val="21"/>
          <w:szCs w:val="21"/>
          <w:color w:val="auto"/>
        </w:rPr>
        <w:t>For as long as Executive is employed and at all times thereafter, Executive shall not, directly or indirectly, communicate, disclose or divulge to any person or entity, or use for Executive’s own benefit or the benefit of any person (other than the Company), any Confidential Information, except as permitted in subparagraph (iii) below. Upon termination of Executive’s employment, or at any other time at the request of the Company, Executive agrees to deliver promptly to the Company all Confidential Information, including, but not limited to, customer and supplier lists, files and records, in Executive’s possession or under Executive’s control. Executive further agrees that he will not make or retain any copies of any of the foregoing and will so represent to the Company upon termination of Executive’s employment. However, nothing in this Agreement or elsewhere shall prohibit Executive from retaining, and using appropriately, copies of documents relating to Executive’s personal rights and obligations, or from making disclosures, in confidence, to his attorney and financial advisor for the purpose of obtaining professional advice.</w:t>
      </w:r>
    </w:p>
    <w:p>
      <w:pPr>
        <w:spacing w:after="0" w:line="185" w:lineRule="exact"/>
        <w:rPr>
          <w:rFonts w:ascii="Arial" w:cs="Arial" w:eastAsia="Arial" w:hAnsi="Arial"/>
          <w:sz w:val="21"/>
          <w:szCs w:val="21"/>
          <w:color w:val="auto"/>
        </w:rPr>
      </w:pPr>
    </w:p>
    <w:p>
      <w:pPr>
        <w:ind w:left="640" w:right="80" w:firstLine="1292"/>
        <w:spacing w:after="0" w:line="236" w:lineRule="auto"/>
        <w:tabs>
          <w:tab w:leader="none" w:pos="2584" w:val="left"/>
        </w:tabs>
        <w:numPr>
          <w:ilvl w:val="2"/>
          <w:numId w:val="107"/>
        </w:numPr>
        <w:rPr>
          <w:rFonts w:ascii="Arial" w:cs="Arial" w:eastAsia="Arial" w:hAnsi="Arial"/>
          <w:sz w:val="22"/>
          <w:szCs w:val="22"/>
          <w:color w:val="auto"/>
        </w:rPr>
      </w:pPr>
      <w:r>
        <w:rPr>
          <w:rFonts w:ascii="Arial" w:cs="Arial" w:eastAsia="Arial" w:hAnsi="Arial"/>
          <w:sz w:val="22"/>
          <w:szCs w:val="22"/>
          <w:color w:val="auto"/>
        </w:rPr>
        <w:t>Executive shall disclose immediately to the Company any trade secrets or other Confidential Information conceived or developed by Executive at any time during Executive’s employment. Executive hereby assigns and agrees to assign to the Company Executive’s entire right, title and interest in and to all Confidential Information. Such assignment shall include, without limitation, the rights to obtain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612775</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1000" w:top="658" w:right="1019" w:bottom="1440" w:gutter="0" w:footer="0" w:header="0"/>
        </w:sectPr>
      </w:pPr>
    </w:p>
    <w:bookmarkStart w:id="205" w:name="page206"/>
    <w:bookmarkEnd w:id="205"/>
    <w:p>
      <w:pPr>
        <w:jc w:val="center"/>
        <w:spacing w:after="0"/>
        <w:rPr>
          <w:sz w:val="20"/>
          <w:szCs w:val="20"/>
          <w:color w:val="auto"/>
        </w:rPr>
      </w:pPr>
      <w:r>
        <w:rPr>
          <w:rFonts w:ascii="Arial" w:cs="Arial" w:eastAsia="Arial" w:hAnsi="Arial"/>
          <w:sz w:val="22"/>
          <w:szCs w:val="22"/>
          <w:color w:val="auto"/>
        </w:rPr>
        <w:t>-13-</w:t>
      </w:r>
    </w:p>
    <w:p>
      <w:pPr>
        <w:spacing w:after="0" w:line="382" w:lineRule="exact"/>
        <w:rPr>
          <w:sz w:val="20"/>
          <w:szCs w:val="20"/>
          <w:color w:val="auto"/>
        </w:rPr>
      </w:pPr>
    </w:p>
    <w:p>
      <w:pPr>
        <w:ind w:left="660" w:right="20"/>
        <w:spacing w:after="0" w:line="275" w:lineRule="auto"/>
        <w:rPr>
          <w:sz w:val="20"/>
          <w:szCs w:val="20"/>
          <w:color w:val="auto"/>
        </w:rPr>
      </w:pPr>
      <w:r>
        <w:rPr>
          <w:rFonts w:ascii="Arial" w:cs="Arial" w:eastAsia="Arial" w:hAnsi="Arial"/>
          <w:sz w:val="19"/>
          <w:szCs w:val="19"/>
          <w:color w:val="auto"/>
        </w:rPr>
        <w:t>patent or copyright protection thereon in the United States and foreign countries. Executive agrees to provide all reasonable assistance to enable the Company to prepare and prosecute any application before any governmental agency for patent or copyright protection or any similar application with respect to any Confidential Information. Executive further agrees to execute all documents and assignments and to make all oaths necessary to vest ownership of such intellectual property rights in the Company, as the Company may reasonably request. These obligations shall apply whether or not the subject thereof was conceived or developed at the suggestion of the Company, and whether or not developed during regular hours of work or while on the premises of the Company.</w:t>
      </w:r>
    </w:p>
    <w:p>
      <w:pPr>
        <w:spacing w:after="0" w:line="157" w:lineRule="exact"/>
        <w:rPr>
          <w:sz w:val="20"/>
          <w:szCs w:val="20"/>
          <w:color w:val="auto"/>
        </w:rPr>
      </w:pPr>
    </w:p>
    <w:p>
      <w:pPr>
        <w:ind w:left="660" w:right="20" w:firstLine="1292"/>
        <w:spacing w:after="0" w:line="269" w:lineRule="auto"/>
        <w:tabs>
          <w:tab w:leader="none" w:pos="2604" w:val="left"/>
        </w:tabs>
        <w:numPr>
          <w:ilvl w:val="1"/>
          <w:numId w:val="108"/>
        </w:numPr>
        <w:rPr>
          <w:rFonts w:ascii="Arial" w:cs="Arial" w:eastAsia="Arial" w:hAnsi="Arial"/>
          <w:sz w:val="19"/>
          <w:szCs w:val="19"/>
          <w:color w:val="auto"/>
        </w:rPr>
      </w:pPr>
      <w:r>
        <w:rPr>
          <w:rFonts w:ascii="Arial" w:cs="Arial" w:eastAsia="Arial" w:hAnsi="Arial"/>
          <w:sz w:val="19"/>
          <w:szCs w:val="19"/>
          <w:color w:val="auto"/>
        </w:rPr>
        <w:t>Except as set forth below, Executive shall at all times, both during and after termination of this Agreement by either Executive or the Company, maintain in confidence and shall not, without prior written consent of the Company, use, except in the course of performance of Executive’s duties for the Company or as required by legal process (provided that Executive will promptly notify the Company of such legal process except with respect to any confidential government investigation), disclose or give to others any Confidential Information. In the event Executive is questioned by anyone not employed by the Company or by an employee of or a consultant to the Company not authorized to receive such information, in regard to any such information or any other secret or confidential work of the Company, or concerning any fact or circumstance relating thereto, Executive will promptly notify the Company. Notwithstanding the foregoing, however, nothing in this Agreement or elsewhere prohibits Executive from communicating with government agencies about possible violations of federal, state, or local laws or otherwise providing information to government agencies, filing a complaint with government agencies, or participating in government agency investigations or proceedings. Executive is not required to notify the Company of any such communications; provided, however, that nothing herein authorizes the disclosure of information Executive obtained through a communication that was subject to the attorney-client privilege. Further, notwithstanding Executive’s confidentiality and nondisclosure obligations, Executive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firstLine="1304"/>
        <w:spacing w:after="0" w:line="236" w:lineRule="auto"/>
        <w:tabs>
          <w:tab w:leader="none" w:pos="1944"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 Executive recognizes that the Company is engaged in a competitive business and that the Company has a legitimate interest in protecting its trade secrets, confidential business information, and customer, business development partner, licensee, supplier, and credit and/or financial relationships. Accordingly, in exchange for valuable consideration, including without limitation Executive’s access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22"/>
          <w:szCs w:val="22"/>
          <w:color w:val="auto"/>
        </w:rPr>
        <w:t>-14-</w:t>
      </w:r>
    </w:p>
    <w:p>
      <w:pPr>
        <w:spacing w:after="0" w:line="382"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confidential business information, employment by the Company, and, with respect to the non-competition restrictions, the Option granted as described in Section 3(c) which Executive hereby explicitly acknowledges and agrees has been mutually agreed upon by Executive and the Company, is fair and reasonable, and is sufficient consideration in exchange for the non-competition restriction, Executive agrees as follows:</w:t>
      </w:r>
    </w:p>
    <w:p>
      <w:pPr>
        <w:spacing w:after="0" w:line="143" w:lineRule="exact"/>
        <w:rPr>
          <w:sz w:val="20"/>
          <w:szCs w:val="20"/>
          <w:color w:val="auto"/>
        </w:rPr>
      </w:pPr>
    </w:p>
    <w:p>
      <w:pPr>
        <w:ind w:left="660" w:firstLine="1292"/>
        <w:spacing w:after="0" w:line="269" w:lineRule="auto"/>
        <w:tabs>
          <w:tab w:leader="none" w:pos="2604" w:val="left"/>
        </w:tabs>
        <w:numPr>
          <w:ilvl w:val="1"/>
          <w:numId w:val="110"/>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the Restricted Period (as defined below), Executive will not, in the Applicable Territory (as defined below), directly or indirectly, whether for himself or for any other person or entity, and whether as a proprietor, principal, shareholder, partner, agent, employee, consultant, independent contractor, or in any other capacity whatsoever, undertake or have any interest in (other than the passive ownership of publicly registered securities representing an ownership interest of less than 1%), or engage or assist others in engaging in, any business or enterprise that is competitive with the Company’s business, including but not limited to any business or enterprise that researches, develops, manufactures, markets, licenses, sells or provides any product or service that competes with any product or service researched, developed, manufactured, marketed, licensed, sold or provided, or planned to be researched, developed, manufactured, marketed, licensed, sold or provided by the Company or any of its affiliates or subsidiaries (a “Competitive Business”), if Executive would be performing job duties or services for the Competitive Business that are of a similar type that Executive performed for the Company at any time during the last two (2) years of Executive’s employment. As a senior leader for the Company, Executive acknowledges and agrees that, in the performance of Executive’s duties for the Company (including, without limitation, assisting the Company with its overall business strategy), Executive will be privy to and rely upon Confidential Information regarding all aspects of the Company’s business and operations. Accordingly, Executive acknowledges and agrees that undertaking a role in a Competitive Business would constitute performing job duties or services of a similar type that Executive performed for the Company. Notwithstanding the foregoing, both Executive and the Company recognize and acknowledge that nothing in this Section 5(b)(i), any other section of this Agreement or elsewhere is intended to or shall be interpreted to (x) restrict Executive’s ability, after he ceases to be an employee of the Company, to practice law, in violation of the Massachusetts Rules of Professional Conduct 5.6 or other applicable rules of professional conduct; or (y) expand the scope of Executive’s duty to maintain privileged or confidential information obtained in connection with his role as counsel for the Company beyond what is permitted under Massachusetts Rules of Professional Conduct 1.6 and 1.9, or other applicable rules of professional conduct.</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1300" w:hanging="320"/>
        <w:spacing w:after="0"/>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Solely for purposes of this Section 5(b)(i):</w:t>
      </w:r>
    </w:p>
    <w:p>
      <w:pPr>
        <w:spacing w:after="0" w:line="206" w:lineRule="exact"/>
        <w:rPr>
          <w:sz w:val="20"/>
          <w:szCs w:val="20"/>
          <w:color w:val="auto"/>
        </w:rPr>
      </w:pPr>
    </w:p>
    <w:p>
      <w:pPr>
        <w:ind w:firstLine="1952"/>
        <w:spacing w:after="0" w:line="279" w:lineRule="auto"/>
        <w:tabs>
          <w:tab w:leader="none" w:pos="259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“Restricted Period” shall include the duration of Executive’s employment with the Company and the twelve (12) month period thereafter; provided, however, that the Restricted Period shall automatically be extended to two (2) years following the cessation of Executive’s employment if Executive breaches a fiduciary duty to the Company or unlawfully takes, physically or electronically, any property belonging to the Company. Notwithstanding the foregoing, the Restricted Period shall end immediately upon Executive’s last day of employment with the Company if : (x) the Company terminates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58" w:right="101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22"/>
          <w:szCs w:val="22"/>
          <w:color w:val="auto"/>
        </w:rPr>
        <w:t>-15-</w:t>
      </w:r>
    </w:p>
    <w:p>
      <w:pPr>
        <w:spacing w:after="0" w:line="38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employment other than for Cause (as defined in Section 2(b)), or (y) the Company notifies Executive in writing that it is waiving the post-employment restrictions set forth in this Section 5(b)(i) (such notice to be provided no later than Executive’s last day of employment or by the seventh (7th) business day following Executive’s notice of resignation, if later).</w:t>
      </w:r>
    </w:p>
    <w:p>
      <w:pPr>
        <w:spacing w:after="0" w:line="77" w:lineRule="exact"/>
        <w:rPr>
          <w:sz w:val="20"/>
          <w:szCs w:val="20"/>
          <w:color w:val="auto"/>
        </w:rPr>
      </w:pPr>
    </w:p>
    <w:p>
      <w:pPr>
        <w:jc w:val="both"/>
        <w:ind w:firstLine="1952"/>
        <w:spacing w:after="0" w:line="287" w:lineRule="auto"/>
        <w:tabs>
          <w:tab w:leader="none" w:pos="259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“Applicable Territory” shall mean the geographic areas in which Executive provided services or had a material presence or influence at any time during Executive’s last two (2) years of employment. As a senior leader for the Company, Executive acknowledges that Executive’s duties and responsibilities require Executive to have a material presence and/or influence anywhere that the Company does business.</w:t>
      </w:r>
    </w:p>
    <w:p>
      <w:pPr>
        <w:spacing w:after="0" w:line="143" w:lineRule="exact"/>
        <w:rPr>
          <w:sz w:val="20"/>
          <w:szCs w:val="20"/>
          <w:color w:val="auto"/>
        </w:rPr>
      </w:pPr>
    </w:p>
    <w:p>
      <w:pPr>
        <w:ind w:left="660" w:right="20" w:firstLine="1292"/>
        <w:spacing w:after="0" w:line="257" w:lineRule="auto"/>
        <w:tabs>
          <w:tab w:leader="none" w:pos="2604" w:val="left"/>
        </w:tabs>
        <w:numPr>
          <w:ilvl w:val="2"/>
          <w:numId w:val="114"/>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While Executive is employed by the Company and for a period of twelve (12) months after the termination or cessation of such employment for any reason, except in the performance of his duties for the Company, Executive will not directly or indirectly:</w:t>
      </w:r>
    </w:p>
    <w:p>
      <w:pPr>
        <w:spacing w:after="0" w:line="169" w:lineRule="exact"/>
        <w:rPr>
          <w:rFonts w:ascii="Arial" w:cs="Arial" w:eastAsia="Arial" w:hAnsi="Arial"/>
          <w:sz w:val="21"/>
          <w:szCs w:val="21"/>
          <w:color w:val="auto"/>
        </w:rPr>
      </w:pPr>
    </w:p>
    <w:p>
      <w:pPr>
        <w:ind w:left="1300" w:right="40" w:hanging="320"/>
        <w:spacing w:after="0" w:line="279" w:lineRule="auto"/>
        <w:tabs>
          <w:tab w:leader="none" w:pos="13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initiate contact with (including without limitation phone calls, press releases and the sending or delivering of announcements), or in any manner solicit, directly or indirectly, any customers, business development partners, licensors, licensees, or creditors (including institutional lenders, bonding companies and trade creditors) of the Company in an attempt to induce or motivate them either to discontinue or modify their then prevailing or future relationship with the Company or to transfer any of their business with the Company to any person or entity other than the Company; or</w:t>
      </w:r>
    </w:p>
    <w:p>
      <w:pPr>
        <w:spacing w:after="0" w:line="150" w:lineRule="exact"/>
        <w:rPr>
          <w:rFonts w:ascii="Arial" w:cs="Arial" w:eastAsia="Arial" w:hAnsi="Arial"/>
          <w:sz w:val="19"/>
          <w:szCs w:val="19"/>
          <w:color w:val="auto"/>
        </w:rPr>
      </w:pPr>
    </w:p>
    <w:p>
      <w:pPr>
        <w:ind w:left="1300" w:right="100" w:hanging="320"/>
        <w:spacing w:after="0" w:line="282" w:lineRule="auto"/>
        <w:tabs>
          <w:tab w:leader="none" w:pos="13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initiate contact with, or in any manner solicit, directly or indirectly, any supplier of goods, services or materials to the Company in an attempt to induce or motivate them either to discontinue or modify their then prevailing or future relationship with the Company or to supply the same or similar inventory, goods, services or materials (except generally available inventory, goods, services or materials) to any person or entity other than the Company; or</w:t>
      </w:r>
    </w:p>
    <w:p>
      <w:pPr>
        <w:spacing w:after="0" w:line="147" w:lineRule="exact"/>
        <w:rPr>
          <w:rFonts w:ascii="Arial" w:cs="Arial" w:eastAsia="Arial" w:hAnsi="Arial"/>
          <w:sz w:val="19"/>
          <w:szCs w:val="19"/>
          <w:color w:val="auto"/>
        </w:rPr>
      </w:pPr>
    </w:p>
    <w:p>
      <w:pPr>
        <w:ind w:left="1300" w:right="20" w:hanging="320"/>
        <w:spacing w:after="0" w:line="238" w:lineRule="auto"/>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directly or indirectly recruit, solicit or otherwise induce or influence any employee or independent contractor of the Company to discontinue or modify his or her employment or engagement with the Company, or employ or contract with any such employee or contractor for the provision of services.</w:t>
      </w:r>
    </w:p>
    <w:p>
      <w:pPr>
        <w:spacing w:after="0" w:line="184" w:lineRule="exact"/>
        <w:rPr>
          <w:rFonts w:ascii="Arial" w:cs="Arial" w:eastAsia="Arial" w:hAnsi="Arial"/>
          <w:sz w:val="22"/>
          <w:szCs w:val="22"/>
          <w:color w:val="auto"/>
        </w:rPr>
      </w:pPr>
    </w:p>
    <w:p>
      <w:pPr>
        <w:ind w:left="1300" w:right="20"/>
        <w:spacing w:after="0" w:line="248" w:lineRule="auto"/>
        <w:rPr>
          <w:rFonts w:ascii="Arial" w:cs="Arial" w:eastAsia="Arial" w:hAnsi="Arial"/>
          <w:sz w:val="22"/>
          <w:szCs w:val="22"/>
          <w:color w:val="auto"/>
        </w:rPr>
      </w:pPr>
      <w:r>
        <w:rPr>
          <w:rFonts w:ascii="Arial" w:cs="Arial" w:eastAsia="Arial" w:hAnsi="Arial"/>
          <w:sz w:val="21"/>
          <w:szCs w:val="21"/>
          <w:color w:val="auto"/>
        </w:rPr>
        <w:t>If Executive violates the provisions of any of the preceding paragraphs of this Section 5(b)(ii), Executive shall continue to be bound by the restrictions set forth in such paragraph until a period of twelve (12) months has expired without any violation of such provisions. Further, the twelve (12) month post-employment restrictions set forth in this Section 5(b)(ii) shall be extended to two (2) years if Executive breaches a fiduciary duty to the Company or unlawfully takes, physically or electronically, any property belonging to the Company.</w:t>
      </w:r>
    </w:p>
    <w:p>
      <w:pPr>
        <w:spacing w:after="0" w:line="176" w:lineRule="exact"/>
        <w:rPr>
          <w:rFonts w:ascii="Arial" w:cs="Arial" w:eastAsia="Arial" w:hAnsi="Arial"/>
          <w:sz w:val="22"/>
          <w:szCs w:val="22"/>
          <w:color w:val="auto"/>
        </w:rPr>
      </w:pPr>
    </w:p>
    <w:p>
      <w:pPr>
        <w:ind w:right="40" w:firstLine="1304"/>
        <w:spacing w:after="0" w:line="250" w:lineRule="auto"/>
        <w:tabs>
          <w:tab w:leader="none" w:pos="1944"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Definition of “Customer”</w:t>
      </w:r>
      <w:r>
        <w:rPr>
          <w:rFonts w:ascii="Arial" w:cs="Arial" w:eastAsia="Arial" w:hAnsi="Arial"/>
          <w:sz w:val="22"/>
          <w:szCs w:val="22"/>
          <w:color w:val="auto"/>
        </w:rPr>
        <w:t>. The term “customer” or “customers” shall include any person or entity (a) that is a current customer of the Company, (b) that was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22"/>
          <w:szCs w:val="22"/>
          <w:color w:val="auto"/>
        </w:rPr>
        <w:t>-16-</w:t>
      </w:r>
    </w:p>
    <w:p>
      <w:pPr>
        <w:spacing w:after="0" w:line="382"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customer of the Company at any time during the preceding twenty-four (24) months or (c) to Executive’s knowledge, to which the Company made a written presentation for the solicitation of business at any time during the preceding twenty-four (24) months.</w:t>
      </w:r>
    </w:p>
    <w:p>
      <w:pPr>
        <w:spacing w:after="0" w:line="186" w:lineRule="exact"/>
        <w:rPr>
          <w:sz w:val="20"/>
          <w:szCs w:val="20"/>
          <w:color w:val="auto"/>
        </w:rPr>
      </w:pPr>
    </w:p>
    <w:p>
      <w:pPr>
        <w:ind w:right="20" w:firstLine="1304"/>
        <w:spacing w:after="0" w:line="246" w:lineRule="auto"/>
        <w:tabs>
          <w:tab w:leader="none" w:pos="1944"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Reasonableness of Restrictions</w:t>
      </w:r>
      <w:r>
        <w:rPr>
          <w:rFonts w:ascii="Arial" w:cs="Arial" w:eastAsia="Arial" w:hAnsi="Arial"/>
          <w:sz w:val="21"/>
          <w:szCs w:val="21"/>
          <w:color w:val="auto"/>
        </w:rPr>
        <w:t>. Executive further recognizes and acknowledges that (i) the types of employment which are prohibited by this Section 5 are narrow and reasonable in relation to the skills which represent Executive’s principal salable asset both to the Company and to Executive’s other prospective employers, and (ii) the broad geographical scope of the provisions of this Section 5 is reasonable, legitimate and fair to Executive in light of the global nature of the Company’s business, and in light of the limited restrictions on the type of employment prohibited herein compared to the types of employment for which Executive is qualified to earn Executive’s livelihood.</w:t>
      </w:r>
    </w:p>
    <w:p>
      <w:pPr>
        <w:spacing w:after="0" w:line="184" w:lineRule="exact"/>
        <w:rPr>
          <w:rFonts w:ascii="Arial" w:cs="Arial" w:eastAsia="Arial" w:hAnsi="Arial"/>
          <w:sz w:val="21"/>
          <w:szCs w:val="21"/>
          <w:color w:val="auto"/>
        </w:rPr>
      </w:pPr>
    </w:p>
    <w:p>
      <w:pPr>
        <w:ind w:right="20" w:firstLine="1304"/>
        <w:spacing w:after="0" w:line="246" w:lineRule="auto"/>
        <w:tabs>
          <w:tab w:leader="none" w:pos="1944"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Executive acknowledges that a breach of this Section 5 will cause great and irreparable injury and damage, which cannot be reasonably or adequately compensated by money damages. Accordingly, Executive acknowledges that the remedies of injunction and specific performance shall be available in the event of such a breach, in addition to money damages, costs and attorneys’ fees, and other legal or equitable remedies, and that the Company shall be entitled as a matter of course to an injunction pending trial, without the posting of bond or other security. Any period of restriction set forth in this Section 5 shall be extended for a period of time equal to the duration of any breach or violation hereof.</w:t>
      </w:r>
    </w:p>
    <w:p>
      <w:pPr>
        <w:spacing w:after="0" w:line="184" w:lineRule="exact"/>
        <w:rPr>
          <w:rFonts w:ascii="Arial" w:cs="Arial" w:eastAsia="Arial" w:hAnsi="Arial"/>
          <w:sz w:val="21"/>
          <w:szCs w:val="21"/>
          <w:color w:val="auto"/>
        </w:rPr>
      </w:pPr>
    </w:p>
    <w:p>
      <w:pPr>
        <w:ind w:right="500" w:firstLine="1304"/>
        <w:spacing w:after="0" w:line="250" w:lineRule="auto"/>
        <w:tabs>
          <w:tab w:leader="none" w:pos="1944"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Notification</w:t>
      </w:r>
      <w:r>
        <w:rPr>
          <w:rFonts w:ascii="Arial" w:cs="Arial" w:eastAsia="Arial" w:hAnsi="Arial"/>
          <w:sz w:val="22"/>
          <w:szCs w:val="22"/>
          <w:color w:val="auto"/>
        </w:rPr>
        <w:t>. Any person employing Executive or evidencing any intention to employ Executive may be notified as to the existence and provisions of this Agreement.</w:t>
      </w:r>
    </w:p>
    <w:p>
      <w:pPr>
        <w:spacing w:after="0" w:line="174" w:lineRule="exact"/>
        <w:rPr>
          <w:rFonts w:ascii="Arial" w:cs="Arial" w:eastAsia="Arial" w:hAnsi="Arial"/>
          <w:sz w:val="22"/>
          <w:szCs w:val="22"/>
          <w:color w:val="auto"/>
        </w:rPr>
      </w:pPr>
    </w:p>
    <w:p>
      <w:pPr>
        <w:ind w:right="20" w:firstLine="1304"/>
        <w:spacing w:after="0" w:line="282" w:lineRule="auto"/>
        <w:tabs>
          <w:tab w:leader="none" w:pos="1944"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Modification of Covenants; Enforceability</w:t>
      </w:r>
      <w:r>
        <w:rPr>
          <w:rFonts w:ascii="Arial" w:cs="Arial" w:eastAsia="Arial" w:hAnsi="Arial"/>
          <w:sz w:val="19"/>
          <w:szCs w:val="19"/>
          <w:color w:val="auto"/>
        </w:rPr>
        <w:t>. In the event that any provision of this Section 5 is held to be in any respect an unreasonable restriction, then the court so holding may modify the terms thereof, including the period of time during which it operates or the geographic area to which it applies, or effect any other change to the extent necessary to render this section enforceable, it being acknowledged by the parties that the representations and covenants set forth herein are of the essence of this Agreement.</w:t>
      </w:r>
    </w:p>
    <w:p>
      <w:pPr>
        <w:spacing w:after="0" w:line="147" w:lineRule="exact"/>
        <w:rPr>
          <w:rFonts w:ascii="Arial" w:cs="Arial" w:eastAsia="Arial" w:hAnsi="Arial"/>
          <w:sz w:val="19"/>
          <w:szCs w:val="19"/>
          <w:color w:val="auto"/>
        </w:rPr>
      </w:pPr>
    </w:p>
    <w:p>
      <w:pPr>
        <w:ind w:firstLine="1304"/>
        <w:spacing w:after="0" w:line="297" w:lineRule="auto"/>
        <w:tabs>
          <w:tab w:leader="none" w:pos="1944"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For purposes of Sections 5 and 6 of this Agreement, “Company” shall include all direct and indirect subsidiaries of the Company. An entity shall be deemed to be a subsidiary of the Company if the Company directly or indirectly owns or controls 50% or more of the equity interest in such entity.</w:t>
      </w:r>
    </w:p>
    <w:p>
      <w:pPr>
        <w:spacing w:after="0" w:line="133" w:lineRule="exact"/>
        <w:rPr>
          <w:rFonts w:ascii="Arial" w:cs="Arial" w:eastAsia="Arial" w:hAnsi="Arial"/>
          <w:sz w:val="19"/>
          <w:szCs w:val="19"/>
          <w:color w:val="auto"/>
        </w:rPr>
      </w:pPr>
    </w:p>
    <w:p>
      <w:pPr>
        <w:ind w:right="120" w:firstLine="1304"/>
        <w:spacing w:after="0" w:line="238" w:lineRule="auto"/>
        <w:tabs>
          <w:tab w:leader="none" w:pos="1944"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Acknowledgements</w:t>
      </w:r>
      <w:r>
        <w:rPr>
          <w:rFonts w:ascii="Arial" w:cs="Arial" w:eastAsia="Arial" w:hAnsi="Arial"/>
          <w:sz w:val="22"/>
          <w:szCs w:val="22"/>
          <w:color w:val="auto"/>
        </w:rPr>
        <w:t>. Executive acknowledges that he has the right to consult with counsel prior to signing this Agreement. Executive further acknowledges that he was provided this Agreement by the earlier of the date of (x) a formal offer of employment, and (y) ten (10) business days prior to Executive’s commencement of employment with the Company.</w:t>
      </w:r>
    </w:p>
    <w:p>
      <w:pPr>
        <w:spacing w:after="0" w:line="184" w:lineRule="exact"/>
        <w:rPr>
          <w:rFonts w:ascii="Arial" w:cs="Arial" w:eastAsia="Arial" w:hAnsi="Arial"/>
          <w:sz w:val="22"/>
          <w:szCs w:val="22"/>
          <w:color w:val="auto"/>
        </w:rPr>
      </w:pPr>
    </w:p>
    <w:p>
      <w:pPr>
        <w:ind w:left="1300" w:hanging="644"/>
        <w:spacing w:after="0"/>
        <w:tabs>
          <w:tab w:leader="none" w:pos="130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Ownership of Ideas, Copyrights and Patents.</w:t>
      </w:r>
    </w:p>
    <w:p>
      <w:pPr>
        <w:spacing w:after="0" w:line="206" w:lineRule="exact"/>
        <w:rPr>
          <w:rFonts w:ascii="Arial" w:cs="Arial" w:eastAsia="Arial" w:hAnsi="Arial"/>
          <w:sz w:val="22"/>
          <w:szCs w:val="22"/>
          <w:color w:val="auto"/>
        </w:rPr>
      </w:pPr>
    </w:p>
    <w:p>
      <w:pPr>
        <w:ind w:right="380" w:firstLine="1304"/>
        <w:spacing w:after="0" w:line="250" w:lineRule="auto"/>
        <w:tabs>
          <w:tab w:leader="none" w:pos="1944" w:val="left"/>
        </w:tabs>
        <w:numPr>
          <w:ilvl w:val="1"/>
          <w:numId w:val="117"/>
        </w:numPr>
        <w:rPr>
          <w:rFonts w:ascii="Arial" w:cs="Arial" w:eastAsia="Arial" w:hAnsi="Arial"/>
          <w:sz w:val="22"/>
          <w:szCs w:val="22"/>
          <w:color w:val="auto"/>
        </w:rPr>
      </w:pPr>
      <w:r>
        <w:rPr>
          <w:rFonts w:ascii="Arial" w:cs="Arial" w:eastAsia="Arial" w:hAnsi="Arial"/>
          <w:sz w:val="22"/>
          <w:szCs w:val="22"/>
          <w:u w:val="single" w:color="auto"/>
          <w:color w:val="auto"/>
        </w:rPr>
        <w:t>Property of the Company</w:t>
      </w:r>
      <w:r>
        <w:rPr>
          <w:rFonts w:ascii="Arial" w:cs="Arial" w:eastAsia="Arial" w:hAnsi="Arial"/>
          <w:sz w:val="22"/>
          <w:szCs w:val="22"/>
          <w:color w:val="auto"/>
        </w:rPr>
        <w:t>. Executive agrees that all ideas, inventions, original works of authorship, developments, concepts, know-how, improvements or trade secrets,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58" w:right="1019"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22"/>
          <w:szCs w:val="22"/>
          <w:color w:val="auto"/>
        </w:rPr>
        <w:t>-17-</w:t>
      </w:r>
    </w:p>
    <w:p>
      <w:pPr>
        <w:spacing w:after="0" w:line="38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whether patentable, copyrightable or not, which Executive may conceive, reduce to practice or develop, alone or in conjunction with another, or others, whether during or out of regular business hours, and whether at the request or upon the suggestion of the Company, or otherwise, in the course of performing services for the Company in any capacity, whether heretofore or hereafter, (collectively, “the Inventions”) are and shall be the sole and exclusive property of the Company, and that Executive shall not publish any of the Inventions without the prior written consent of the Company. Executive hereby assigns to the Company all of Executive’s right, title and interest in and to all of the foregoing. Executive further represents and agrees that to the best of Executive’s knowledge and belief none of the Inventions will violate or infringe upon any right, patent, copyright, trademark or right of privacy, or constitute libel or slander against or violate any other rights of any person, firm or corporation and that Executive will use his best efforts to prevent any such violation.</w:t>
      </w:r>
    </w:p>
    <w:p>
      <w:pPr>
        <w:spacing w:after="0" w:line="161" w:lineRule="exact"/>
        <w:rPr>
          <w:sz w:val="20"/>
          <w:szCs w:val="20"/>
          <w:color w:val="auto"/>
        </w:rPr>
      </w:pPr>
    </w:p>
    <w:p>
      <w:pPr>
        <w:ind w:right="20" w:firstLine="1304"/>
        <w:spacing w:after="0" w:line="272" w:lineRule="auto"/>
        <w:tabs>
          <w:tab w:leader="none" w:pos="1944"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At any time during or after the Term, Executive agrees that he will fully cooperate with the Company, its attorneys and agents in the preparation and filing of all papers and other documents as may be required to perfect the Company’s rights in and to any of such Inventions, including, but not limited to, executing any lawful document (including, but not limited to, applications, assignments, oaths, declarations and affidavits) and joining in any proceeding to obtain letters patent, copyrights, trademarks or other legal rights of the United States and of any and all other countries on such Inventions, provided that any patent or other legal right so issued to Executive, personally, shall be assigned by Executive to the Company without charge by Executive. Executive further designates the Company as his agent for, and grants to the Company a power of attorney with full power of substitution, which power of attorney shall be deemed coupled with an interest, for the purpose of effecting the foregoing assignments from Executive to the Company. Company will bear the reasonable expenses which are incurred by Executive in assisting and cooperating hereunder. Executive waives all claims to moral rights in any Inventions.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400" w:firstLine="656"/>
        <w:spacing w:after="0" w:line="282" w:lineRule="auto"/>
        <w:tabs>
          <w:tab w:leader="none" w:pos="1296"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Disclosure to Future Employers</w:t>
      </w:r>
      <w:r>
        <w:rPr>
          <w:rFonts w:ascii="Arial" w:cs="Arial" w:eastAsia="Arial" w:hAnsi="Arial"/>
          <w:sz w:val="19"/>
          <w:szCs w:val="19"/>
          <w:color w:val="auto"/>
        </w:rPr>
        <w:t>. The Company may provide in its discretion, a copy of the covenants contained in Sections 5 and 6 of this Agreement to any business or enterprise which Executive may directly, or indirectly, own, manage, operate, finance, join, control or in which Executive participates in the ownership, management, operation, financing, or control, or with which Executive may be connected as an officer, director, employee, partner, principal, agent, representative, consultant or otherwise.</w:t>
      </w:r>
    </w:p>
    <w:p>
      <w:pPr>
        <w:spacing w:after="0" w:line="147" w:lineRule="exact"/>
        <w:rPr>
          <w:rFonts w:ascii="Arial" w:cs="Arial" w:eastAsia="Arial" w:hAnsi="Arial"/>
          <w:sz w:val="19"/>
          <w:szCs w:val="19"/>
          <w:color w:val="auto"/>
        </w:rPr>
      </w:pPr>
    </w:p>
    <w:p>
      <w:pPr>
        <w:ind w:right="120" w:firstLine="656"/>
        <w:spacing w:after="0" w:line="297" w:lineRule="auto"/>
        <w:tabs>
          <w:tab w:leader="none" w:pos="1296"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Records</w:t>
      </w:r>
      <w:r>
        <w:rPr>
          <w:rFonts w:ascii="Arial" w:cs="Arial" w:eastAsia="Arial" w:hAnsi="Arial"/>
          <w:sz w:val="19"/>
          <w:szCs w:val="19"/>
          <w:color w:val="auto"/>
        </w:rPr>
        <w:t>. Upon termination of Executive’s relationship with the Company, Executive shall deliver to the Company any property of the Company which may be in Executive’s possession including products, materials, memoranda, notes, records, reports, or other documents or photocopies of the same.</w:t>
      </w:r>
    </w:p>
    <w:p>
      <w:pPr>
        <w:spacing w:after="0" w:line="133" w:lineRule="exact"/>
        <w:rPr>
          <w:rFonts w:ascii="Arial" w:cs="Arial" w:eastAsia="Arial" w:hAnsi="Arial"/>
          <w:sz w:val="19"/>
          <w:szCs w:val="19"/>
          <w:color w:val="auto"/>
        </w:rPr>
      </w:pPr>
    </w:p>
    <w:p>
      <w:pPr>
        <w:ind w:right="80" w:firstLine="656"/>
        <w:spacing w:after="0" w:line="282" w:lineRule="auto"/>
        <w:tabs>
          <w:tab w:leader="none" w:pos="1296"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The Company, in its sole discretion, may apply for and procure in its own name (whether or not for its own benefit) policies of insurance insuring Executive’s life. Executive agrees to submit to reasonable medical or other examinations and to execute and deliver any applications or other instruments in writing that are reasonably necessary to effectuate such insurance. No adverse employment actions may be based upon the results of any such exam or the failure by the Company to obtain such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587375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22"/>
          <w:szCs w:val="22"/>
          <w:color w:val="auto"/>
        </w:rPr>
        <w:t>-18-</w:t>
      </w:r>
    </w:p>
    <w:p>
      <w:pPr>
        <w:spacing w:after="0" w:line="382" w:lineRule="exact"/>
        <w:rPr>
          <w:sz w:val="20"/>
          <w:szCs w:val="20"/>
          <w:color w:val="auto"/>
        </w:rPr>
      </w:pPr>
    </w:p>
    <w:p>
      <w:pPr>
        <w:ind w:right="540" w:firstLine="656"/>
        <w:spacing w:after="0" w:line="250" w:lineRule="auto"/>
        <w:tabs>
          <w:tab w:leader="none" w:pos="1296"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No Conflicting Agreements</w:t>
      </w:r>
      <w:r>
        <w:rPr>
          <w:rFonts w:ascii="Arial" w:cs="Arial" w:eastAsia="Arial" w:hAnsi="Arial"/>
          <w:sz w:val="22"/>
          <w:szCs w:val="22"/>
          <w:color w:val="auto"/>
        </w:rPr>
        <w:t>. Executive hereby represents and warrants that Executive has no commitments or obligations inconsistent with this Agreement.</w:t>
      </w:r>
    </w:p>
    <w:p>
      <w:pPr>
        <w:spacing w:after="0" w:line="174" w:lineRule="exact"/>
        <w:rPr>
          <w:rFonts w:ascii="Arial" w:cs="Arial" w:eastAsia="Arial" w:hAnsi="Arial"/>
          <w:sz w:val="22"/>
          <w:szCs w:val="22"/>
          <w:color w:val="auto"/>
        </w:rPr>
      </w:pPr>
    </w:p>
    <w:p>
      <w:pPr>
        <w:ind w:right="40" w:firstLine="656"/>
        <w:spacing w:after="0" w:line="236" w:lineRule="auto"/>
        <w:tabs>
          <w:tab w:leader="none" w:pos="1296"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Conditions to Employment</w:t>
      </w:r>
      <w:r>
        <w:rPr>
          <w:rFonts w:ascii="Arial" w:cs="Arial" w:eastAsia="Arial" w:hAnsi="Arial"/>
          <w:sz w:val="22"/>
          <w:szCs w:val="22"/>
          <w:color w:val="auto"/>
        </w:rPr>
        <w:t>. Notwithstanding anything to the contrary contained herein, this Agreement and Executive’s employment hereunder is subject to and conditioned on satisfactory background and reference checks, and Executive’s provision of proof of his right to work in the United States. The Company shall notify Executive by August 31, 2020 if any such background or reference checks have not been completed to its satisfaction.</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General.</w:t>
      </w:r>
    </w:p>
    <w:p>
      <w:pPr>
        <w:spacing w:after="0" w:line="206" w:lineRule="exact"/>
        <w:rPr>
          <w:rFonts w:ascii="Arial" w:cs="Arial" w:eastAsia="Arial" w:hAnsi="Arial"/>
          <w:sz w:val="22"/>
          <w:szCs w:val="22"/>
          <w:color w:val="auto"/>
        </w:rPr>
      </w:pPr>
    </w:p>
    <w:p>
      <w:pPr>
        <w:ind w:right="340" w:firstLine="1304"/>
        <w:spacing w:after="0" w:line="250" w:lineRule="auto"/>
        <w:tabs>
          <w:tab w:leader="none" w:pos="1944" w:val="left"/>
        </w:tabs>
        <w:numPr>
          <w:ilvl w:val="1"/>
          <w:numId w:val="12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consents and other communications hereunder shall be in writing, shall be addressed to the receiving party’s address as follows:</w:t>
      </w:r>
    </w:p>
    <w:p>
      <w:pPr>
        <w:spacing w:after="0" w:line="215" w:lineRule="exact"/>
        <w:rPr>
          <w:sz w:val="20"/>
          <w:szCs w:val="20"/>
          <w:color w:val="auto"/>
        </w:rPr>
      </w:pPr>
    </w:p>
    <w:p>
      <w:pPr>
        <w:ind w:left="3600"/>
        <w:spacing w:after="0"/>
        <w:tabs>
          <w:tab w:leader="none" w:pos="586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19"/>
          <w:szCs w:val="19"/>
          <w:color w:val="auto"/>
        </w:rPr>
        <w:t>Ocular Therapeutix, Inc.</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24 Crosby Drive</w:t>
      </w:r>
    </w:p>
    <w:p>
      <w:pPr>
        <w:spacing w:after="0" w:line="17"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Bedford, MA 01730 USA</w:t>
      </w:r>
    </w:p>
    <w:p>
      <w:pPr>
        <w:spacing w:after="0" w:line="17"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Attention: Antony Mattessich</w:t>
      </w:r>
    </w:p>
    <w:p>
      <w:pPr>
        <w:spacing w:after="0" w:line="17"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Telephone: (781) 357-4000</w:t>
      </w:r>
    </w:p>
    <w:p>
      <w:pPr>
        <w:spacing w:after="0" w:line="283" w:lineRule="exact"/>
        <w:rPr>
          <w:sz w:val="20"/>
          <w:szCs w:val="20"/>
          <w:color w:val="auto"/>
        </w:rPr>
      </w:pPr>
    </w:p>
    <w:p>
      <w:pPr>
        <w:ind w:left="3600"/>
        <w:spacing w:after="0"/>
        <w:tabs>
          <w:tab w:leader="none" w:pos="5860" w:val="left"/>
        </w:tabs>
        <w:rPr>
          <w:sz w:val="20"/>
          <w:szCs w:val="20"/>
          <w:color w:val="auto"/>
        </w:rPr>
      </w:pPr>
      <w:r>
        <w:rPr>
          <w:rFonts w:ascii="Arial" w:cs="Arial" w:eastAsia="Arial" w:hAnsi="Arial"/>
          <w:sz w:val="22"/>
          <w:szCs w:val="22"/>
          <w:color w:val="auto"/>
        </w:rPr>
        <w:t>With an email copy to:</w:t>
      </w:r>
      <w:r>
        <w:rPr>
          <w:sz w:val="20"/>
          <w:szCs w:val="20"/>
          <w:color w:val="auto"/>
        </w:rPr>
        <w:tab/>
      </w:r>
      <w:r>
        <w:rPr>
          <w:rFonts w:ascii="Arial" w:cs="Arial" w:eastAsia="Arial" w:hAnsi="Arial"/>
          <w:sz w:val="19"/>
          <w:szCs w:val="19"/>
          <w:color w:val="auto"/>
        </w:rPr>
        <w:t>AMattessich@ocutx.com</w:t>
      </w:r>
    </w:p>
    <w:p>
      <w:pPr>
        <w:spacing w:after="0" w:line="287" w:lineRule="exact"/>
        <w:rPr>
          <w:sz w:val="20"/>
          <w:szCs w:val="20"/>
          <w:color w:val="auto"/>
        </w:rPr>
      </w:pPr>
    </w:p>
    <w:p>
      <w:pPr>
        <w:ind w:left="3600"/>
        <w:spacing w:after="0"/>
        <w:tabs>
          <w:tab w:leader="none" w:pos="5860" w:val="left"/>
        </w:tabs>
        <w:rPr>
          <w:sz w:val="20"/>
          <w:szCs w:val="20"/>
          <w:color w:val="auto"/>
        </w:rPr>
      </w:pPr>
      <w:r>
        <w:rPr>
          <w:rFonts w:ascii="Arial" w:cs="Arial" w:eastAsia="Arial" w:hAnsi="Arial"/>
          <w:sz w:val="22"/>
          <w:szCs w:val="22"/>
          <w:color w:val="auto"/>
        </w:rPr>
        <w:t>If to Executive:</w:t>
      </w:r>
      <w:r>
        <w:rPr>
          <w:sz w:val="20"/>
          <w:szCs w:val="20"/>
          <w:color w:val="auto"/>
        </w:rPr>
        <w:tab/>
      </w:r>
      <w:r>
        <w:rPr>
          <w:rFonts w:ascii="Arial" w:cs="Arial" w:eastAsia="Arial" w:hAnsi="Arial"/>
          <w:sz w:val="19"/>
          <w:szCs w:val="19"/>
          <w:color w:val="auto"/>
        </w:rPr>
        <w:t>Philip Strassburger</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[last known address on file with the</w:t>
      </w:r>
    </w:p>
    <w:p>
      <w:pPr>
        <w:spacing w:after="0" w:line="17"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Company]</w:t>
      </w:r>
    </w:p>
    <w:p>
      <w:pPr>
        <w:spacing w:after="0" w:line="283"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With an email copy to:</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philip.strassburger@gmail.com</w:t>
      </w:r>
    </w:p>
    <w:p>
      <w:pPr>
        <w:spacing w:after="0" w:line="215"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or to such other address as a party may designate by notice hereunder, and shall be either (i) delivered by hand, (ii) sent by overnight courier, or (iii) sent by registered or certified mail, return receipt requested, postage prepaid. All notices, requests, consents and other communications hereunder shall be deemed to have been given either (i) if by hand, at the time of the delivery thereof to the receiving party at the address of such party set forth above, (ii) if sent by overnight courier, on the next business day following the day such notice is delivered to the courier service, or (iii) if sent by registered or certified mail, on the fifth (5th) business day following the day such mailing is made.</w:t>
      </w:r>
    </w:p>
    <w:p>
      <w:pPr>
        <w:spacing w:after="0" w:line="191" w:lineRule="exact"/>
        <w:rPr>
          <w:sz w:val="20"/>
          <w:szCs w:val="20"/>
          <w:color w:val="auto"/>
        </w:rPr>
      </w:pPr>
    </w:p>
    <w:p>
      <w:pPr>
        <w:ind w:right="280" w:firstLine="1304"/>
        <w:spacing w:after="0" w:line="282" w:lineRule="auto"/>
        <w:tabs>
          <w:tab w:leader="none" w:pos="1944"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47" w:lineRule="exact"/>
        <w:rPr>
          <w:rFonts w:ascii="Arial" w:cs="Arial" w:eastAsia="Arial" w:hAnsi="Arial"/>
          <w:sz w:val="19"/>
          <w:szCs w:val="19"/>
          <w:color w:val="auto"/>
        </w:rPr>
      </w:pPr>
    </w:p>
    <w:p>
      <w:pPr>
        <w:jc w:val="both"/>
        <w:ind w:right="540" w:firstLine="1304"/>
        <w:spacing w:after="0"/>
        <w:tabs>
          <w:tab w:leader="none" w:pos="1944"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Modifications and Amendments</w:t>
      </w:r>
      <w:r>
        <w:rPr>
          <w:rFonts w:ascii="Arial" w:cs="Arial" w:eastAsia="Arial" w:hAnsi="Arial"/>
          <w:sz w:val="22"/>
          <w:szCs w:val="22"/>
          <w:color w:val="auto"/>
        </w:rPr>
        <w:t>. The terms and provisions of this Agreement may be modified or amended only by written agreement executed by the parties hereto that expressly references the provision of this Agreement being modified or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11" w:name="page212"/>
    <w:bookmarkEnd w:id="211"/>
    <w:p>
      <w:pPr>
        <w:jc w:val="center"/>
        <w:spacing w:after="0"/>
        <w:rPr>
          <w:sz w:val="20"/>
          <w:szCs w:val="20"/>
          <w:color w:val="auto"/>
        </w:rPr>
      </w:pPr>
      <w:r>
        <w:rPr>
          <w:rFonts w:ascii="Arial" w:cs="Arial" w:eastAsia="Arial" w:hAnsi="Arial"/>
          <w:sz w:val="22"/>
          <w:szCs w:val="22"/>
          <w:color w:val="auto"/>
        </w:rPr>
        <w:t>-19-</w:t>
      </w:r>
    </w:p>
    <w:p>
      <w:pPr>
        <w:spacing w:after="0" w:line="382" w:lineRule="exact"/>
        <w:rPr>
          <w:sz w:val="20"/>
          <w:szCs w:val="20"/>
          <w:color w:val="auto"/>
        </w:rPr>
      </w:pPr>
    </w:p>
    <w:p>
      <w:pPr>
        <w:ind w:left="-20" w:right="80" w:firstLine="1304"/>
        <w:spacing w:after="0" w:line="279" w:lineRule="auto"/>
        <w:tabs>
          <w:tab w:leader="none" w:pos="1924"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Waivers and Consents</w:t>
      </w:r>
      <w:r>
        <w:rPr>
          <w:rFonts w:ascii="Arial" w:cs="Arial" w:eastAsia="Arial" w:hAnsi="Arial"/>
          <w:sz w:val="19"/>
          <w:szCs w:val="19"/>
          <w:color w:val="auto"/>
        </w:rPr>
        <w:t>. The terms and provisions of this Agreement may be waived, or consent for the departure therefrom granted, only by written document referencing the terms and provisions being waived and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0" w:lineRule="exact"/>
        <w:rPr>
          <w:rFonts w:ascii="Arial" w:cs="Arial" w:eastAsia="Arial" w:hAnsi="Arial"/>
          <w:sz w:val="19"/>
          <w:szCs w:val="19"/>
          <w:color w:val="auto"/>
        </w:rPr>
      </w:pPr>
    </w:p>
    <w:p>
      <w:pPr>
        <w:ind w:left="-20" w:right="100" w:firstLine="1304"/>
        <w:spacing w:after="0" w:line="252" w:lineRule="auto"/>
        <w:tabs>
          <w:tab w:leader="none" w:pos="1924"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The Company shall assign its rights and obligations hereunder to any person or entity that succeeds to all or substantially all of the Company’s business or that aspect of the Company’s business in which Executive is principally involved. Executive may not assign Executive’s rights and obligations under this Agreement without the prior written consent of the Company.</w:t>
      </w:r>
    </w:p>
    <w:p>
      <w:pPr>
        <w:spacing w:after="0" w:line="173" w:lineRule="exact"/>
        <w:rPr>
          <w:rFonts w:ascii="Arial" w:cs="Arial" w:eastAsia="Arial" w:hAnsi="Arial"/>
          <w:sz w:val="21"/>
          <w:szCs w:val="21"/>
          <w:color w:val="auto"/>
        </w:rPr>
      </w:pPr>
    </w:p>
    <w:p>
      <w:pPr>
        <w:ind w:left="-20" w:right="140" w:firstLine="1304"/>
        <w:spacing w:after="0" w:line="236" w:lineRule="auto"/>
        <w:tabs>
          <w:tab w:leader="none" w:pos="1924"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Benefit</w:t>
      </w:r>
      <w:r>
        <w:rPr>
          <w:rFonts w:ascii="Arial" w:cs="Arial" w:eastAsia="Arial" w:hAnsi="Arial"/>
          <w:sz w:val="22"/>
          <w:szCs w:val="22"/>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87" w:lineRule="exact"/>
        <w:rPr>
          <w:rFonts w:ascii="Arial" w:cs="Arial" w:eastAsia="Arial" w:hAnsi="Arial"/>
          <w:sz w:val="22"/>
          <w:szCs w:val="22"/>
          <w:color w:val="auto"/>
        </w:rPr>
      </w:pPr>
    </w:p>
    <w:p>
      <w:pPr>
        <w:ind w:left="-20" w:right="200" w:firstLine="1304"/>
        <w:spacing w:after="0"/>
        <w:tabs>
          <w:tab w:leader="none" w:pos="1924"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rights and obligations of the parties hereunder shall be construed in accordance with and governed by the law of the Commonwealth of Massachusetts, without giving effect to the conflict of law principles thereof.</w:t>
      </w:r>
    </w:p>
    <w:p>
      <w:pPr>
        <w:spacing w:after="0" w:line="186" w:lineRule="exact"/>
        <w:rPr>
          <w:rFonts w:ascii="Arial" w:cs="Arial" w:eastAsia="Arial" w:hAnsi="Arial"/>
          <w:sz w:val="22"/>
          <w:szCs w:val="22"/>
          <w:color w:val="auto"/>
        </w:rPr>
      </w:pPr>
    </w:p>
    <w:p>
      <w:pPr>
        <w:ind w:left="-20" w:firstLine="1304"/>
        <w:spacing w:after="0" w:line="274" w:lineRule="auto"/>
        <w:tabs>
          <w:tab w:leader="none" w:pos="1924"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Jurisdiction and Service of Process</w:t>
      </w:r>
      <w:r>
        <w:rPr>
          <w:rFonts w:ascii="Arial" w:cs="Arial" w:eastAsia="Arial" w:hAnsi="Arial"/>
          <w:sz w:val="19"/>
          <w:szCs w:val="19"/>
          <w:color w:val="auto"/>
        </w:rPr>
        <w:t>. Any legal action or proceeding with respect to this Agreement shall be brought in the courts of the Commonwealth of Massachusetts or of the United States of America for the District of Massachusetts and in Suffolk County in the event of any legal action or proceeding related to the non-competition provision contained in Section 5. By execution and delivery of this Agreement, each of the parties hereto accepts for itself and in respect of its property, generally and unconditionally, the jurisdiction of the aforesaid courts. Each of the parties hereto irrevocably consents to the service of process of any of the aforementioned courts in any such action or proceeding by the mailing of copies thereof by certified mail, postage prepaid, to the party at its address set forth in Section 12(a) hereof. THE PARTIES IRREVOCABLY WAIVE ANY RIGHT TO TRIAL BY JURY AS TO ALL CLAIMS HEREUNDER.</w:t>
      </w:r>
    </w:p>
    <w:p>
      <w:pPr>
        <w:spacing w:after="0" w:line="158" w:lineRule="exact"/>
        <w:rPr>
          <w:rFonts w:ascii="Arial" w:cs="Arial" w:eastAsia="Arial" w:hAnsi="Arial"/>
          <w:sz w:val="19"/>
          <w:szCs w:val="19"/>
          <w:color w:val="auto"/>
        </w:rPr>
      </w:pPr>
    </w:p>
    <w:p>
      <w:pPr>
        <w:ind w:left="-20" w:right="200" w:firstLine="1304"/>
        <w:spacing w:after="0" w:line="274" w:lineRule="auto"/>
        <w:tabs>
          <w:tab w:leader="none" w:pos="1924"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parties intend this Agreement to be enforced as written. However, (i) if any portion or provision of this Agreement shall to any extent be declared illegal or unenforceable by a duly authorized court having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and (ii) if any provision, or part thereof, is held to be unenforceable because of the duration of such provision or the geographic area covered thereby, the Company and Executive agrees that the court making such determination shall have the power to reduce the duration and/or geographic area of such provision, and/or to delete specific words and phrases (“blue-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594360</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658" w:right="999" w:bottom="1440" w:gutter="0" w:footer="0" w:header="0"/>
        </w:sectPr>
      </w:pPr>
    </w:p>
    <w:bookmarkStart w:id="212" w:name="page213"/>
    <w:bookmarkEnd w:id="212"/>
    <w:p>
      <w:pPr>
        <w:jc w:val="center"/>
        <w:ind w:right="-59"/>
        <w:spacing w:after="0"/>
        <w:rPr>
          <w:sz w:val="20"/>
          <w:szCs w:val="20"/>
          <w:color w:val="auto"/>
        </w:rPr>
      </w:pPr>
      <w:r>
        <w:rPr>
          <w:rFonts w:ascii="Arial" w:cs="Arial" w:eastAsia="Arial" w:hAnsi="Arial"/>
          <w:sz w:val="22"/>
          <w:szCs w:val="22"/>
          <w:color w:val="auto"/>
        </w:rPr>
        <w:t>-20-</w:t>
      </w:r>
    </w:p>
    <w:p>
      <w:pPr>
        <w:spacing w:after="0" w:line="382" w:lineRule="exact"/>
        <w:rPr>
          <w:sz w:val="20"/>
          <w:szCs w:val="20"/>
          <w:color w:val="auto"/>
        </w:rPr>
      </w:pPr>
    </w:p>
    <w:p>
      <w:pPr>
        <w:ind w:right="720"/>
        <w:spacing w:after="0" w:line="250" w:lineRule="auto"/>
        <w:rPr>
          <w:sz w:val="20"/>
          <w:szCs w:val="20"/>
          <w:color w:val="auto"/>
        </w:rPr>
      </w:pPr>
      <w:r>
        <w:rPr>
          <w:rFonts w:ascii="Arial" w:cs="Arial" w:eastAsia="Arial" w:hAnsi="Arial"/>
          <w:sz w:val="22"/>
          <w:szCs w:val="22"/>
          <w:color w:val="auto"/>
        </w:rPr>
        <w:t>penciling”), and in its reduced or blue-penciled form such provision shall then be enforceable and shall be enforced.</w:t>
      </w:r>
    </w:p>
    <w:p>
      <w:pPr>
        <w:spacing w:after="0" w:line="175" w:lineRule="exact"/>
        <w:rPr>
          <w:sz w:val="20"/>
          <w:szCs w:val="20"/>
          <w:color w:val="auto"/>
        </w:rPr>
      </w:pPr>
    </w:p>
    <w:p>
      <w:pPr>
        <w:ind w:right="120" w:firstLine="1304"/>
        <w:spacing w:after="0" w:line="236" w:lineRule="auto"/>
        <w:tabs>
          <w:tab w:leader="none" w:pos="1944"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Headings and Captions; Interpretation</w:t>
      </w:r>
      <w:r>
        <w:rPr>
          <w:rFonts w:ascii="Arial" w:cs="Arial" w:eastAsia="Arial" w:hAnsi="Arial"/>
          <w:sz w:val="22"/>
          <w:szCs w:val="22"/>
          <w:color w:val="auto"/>
        </w:rPr>
        <w:t>. The headings and captions of the various subdivisions of this Agreement are for convenience of reference only and shall in no way modify, or affect the meaning or construction of, any of the terms or provisions hereof. The provisions of the following Sections of this Agreement are in addition to, and do not limit, each other: Sections 6 and 5(a); Sections 7 and 5(g); Sections 12(k) and 5(f); and Sections 12(l) and 12(d).</w:t>
      </w:r>
    </w:p>
    <w:p>
      <w:pPr>
        <w:spacing w:after="0" w:line="187" w:lineRule="exact"/>
        <w:rPr>
          <w:rFonts w:ascii="Arial" w:cs="Arial" w:eastAsia="Arial" w:hAnsi="Arial"/>
          <w:sz w:val="22"/>
          <w:szCs w:val="22"/>
          <w:color w:val="auto"/>
        </w:rPr>
      </w:pPr>
    </w:p>
    <w:p>
      <w:pPr>
        <w:ind w:firstLine="1304"/>
        <w:spacing w:after="0" w:line="236" w:lineRule="auto"/>
        <w:tabs>
          <w:tab w:leader="none" w:pos="1944"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Injunctive Relief</w:t>
      </w:r>
      <w:r>
        <w:rPr>
          <w:rFonts w:ascii="Arial" w:cs="Arial" w:eastAsia="Arial" w:hAnsi="Arial"/>
          <w:sz w:val="22"/>
          <w:szCs w:val="22"/>
          <w:color w:val="auto"/>
        </w:rPr>
        <w:t>. Executive hereby expressly acknowledges that any breach or threatened breach of any of the terms and/or conditions set forth in Section 5 or 6 of this Agreement will result in substantial, continuing and irreparable injury to the Company. Therefore, Executive hereby agrees that, in addition to any other remedy that may be available to the Company, the Company shall be entitled to injunctive or other equitable relief by a court of appropriate jurisdiction.</w:t>
      </w:r>
    </w:p>
    <w:p>
      <w:pPr>
        <w:spacing w:after="0" w:line="187" w:lineRule="exact"/>
        <w:rPr>
          <w:rFonts w:ascii="Arial" w:cs="Arial" w:eastAsia="Arial" w:hAnsi="Arial"/>
          <w:sz w:val="22"/>
          <w:szCs w:val="22"/>
          <w:color w:val="auto"/>
        </w:rPr>
      </w:pPr>
    </w:p>
    <w:p>
      <w:pPr>
        <w:ind w:right="20" w:firstLine="1304"/>
        <w:spacing w:after="0" w:line="273" w:lineRule="auto"/>
        <w:tabs>
          <w:tab w:leader="none" w:pos="1944"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No Waiver of Rights, Powers and Remedies</w:t>
      </w:r>
      <w:r>
        <w:rPr>
          <w:rFonts w:ascii="Arial" w:cs="Arial" w:eastAsia="Arial" w:hAnsi="Arial"/>
          <w:sz w:val="19"/>
          <w:szCs w:val="19"/>
          <w:color w:val="auto"/>
        </w:rPr>
        <w:t>. No failure or delay by a party hereto in exercising any right, power or remedy under this Agreement, and no course of dealing between the parties hereto, shall operate as a waiver of any such right, power or remedy of the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60" w:lineRule="exact"/>
        <w:rPr>
          <w:rFonts w:ascii="Arial" w:cs="Arial" w:eastAsia="Arial" w:hAnsi="Arial"/>
          <w:sz w:val="19"/>
          <w:szCs w:val="19"/>
          <w:color w:val="auto"/>
        </w:rPr>
      </w:pPr>
    </w:p>
    <w:p>
      <w:pPr>
        <w:ind w:right="540" w:firstLine="1304"/>
        <w:spacing w:after="0" w:line="287" w:lineRule="auto"/>
        <w:tabs>
          <w:tab w:leader="none" w:pos="1944"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and by different parties hereto on separate counterparts, each of which shall be deemed an original, but all of which together shall constitute one and the same instrument. Delivery of executed counterparts in electronic form (including by portable document format) shall be sufficient for all purposes.</w:t>
      </w:r>
    </w:p>
    <w:p>
      <w:pPr>
        <w:spacing w:after="0" w:line="142" w:lineRule="exact"/>
        <w:rPr>
          <w:rFonts w:ascii="Arial" w:cs="Arial" w:eastAsia="Arial" w:hAnsi="Arial"/>
          <w:sz w:val="19"/>
          <w:szCs w:val="19"/>
          <w:color w:val="auto"/>
        </w:rPr>
      </w:pPr>
    </w:p>
    <w:p>
      <w:pPr>
        <w:ind w:right="260" w:firstLine="1304"/>
        <w:spacing w:after="0" w:line="274" w:lineRule="auto"/>
        <w:tabs>
          <w:tab w:leader="none" w:pos="1944"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The provisions of Sections 4, 5, 6, 7, 8, and 12 shall survive the termination of this Agreement and Executive’s employment hereunder in accordance with their terms.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487045</wp:posOffset>
            </wp:positionV>
            <wp:extent cx="629221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58" w:right="1039" w:bottom="1440" w:gutter="0" w:footer="0" w:header="0"/>
        </w:sectPr>
      </w:pPr>
    </w:p>
    <w:bookmarkStart w:id="213" w:name="page214"/>
    <w:bookmarkEnd w:id="213"/>
    <w:p>
      <w:pPr>
        <w:ind w:firstLine="648"/>
        <w:spacing w:after="0" w:line="250" w:lineRule="auto"/>
        <w:rPr>
          <w:sz w:val="20"/>
          <w:szCs w:val="20"/>
          <w:color w:val="auto"/>
        </w:rPr>
      </w:pPr>
      <w:r>
        <w:rPr>
          <w:rFonts w:ascii="Arial" w:cs="Arial" w:eastAsia="Arial" w:hAnsi="Arial"/>
          <w:sz w:val="22"/>
          <w:szCs w:val="22"/>
          <w:color w:val="auto"/>
        </w:rPr>
        <w:t>IN WITNESS THEREOF, the parties hereto have executed this Agreement as of the day and year first above written.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Ocular Therapeutix,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Antony Mattessich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360870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4">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Antony Mattessich</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Philip C. Strassburger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36087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5">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Philip C. Strassburger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476250</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80"/>
          </w:cols>
          <w:pgMar w:left="980" w:top="1090" w:right="1439" w:bottom="1440" w:gutter="0" w:footer="0" w:header="0"/>
        </w:sectPr>
      </w:pPr>
    </w:p>
    <w:bookmarkStart w:id="214" w:name="page215"/>
    <w:bookmarkEnd w:id="214"/>
    <w:p>
      <w:pPr>
        <w:jc w:val="center"/>
        <w:ind w:right="-39"/>
        <w:spacing w:after="0"/>
        <w:rPr>
          <w:sz w:val="20"/>
          <w:szCs w:val="20"/>
          <w:color w:val="auto"/>
        </w:rPr>
      </w:pPr>
      <w:r>
        <w:rPr>
          <w:rFonts w:ascii="Arial" w:cs="Arial" w:eastAsia="Arial" w:hAnsi="Arial"/>
          <w:sz w:val="22"/>
          <w:szCs w:val="22"/>
          <w:b w:val="1"/>
          <w:bCs w:val="1"/>
          <w:color w:val="auto"/>
        </w:rPr>
        <w:t>EXHIBIT A</w:t>
      </w:r>
      <w:r>
        <w:rPr>
          <w:rFonts w:ascii="Arial" w:cs="Arial" w:eastAsia="Arial" w:hAnsi="Arial"/>
          <w:sz w:val="16"/>
          <w:szCs w:val="16"/>
          <w:b w:val="1"/>
          <w:bCs w:val="1"/>
          <w:color w:val="auto"/>
        </w:rPr>
        <w:t>1</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Sample Separation and Release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[Insert Date]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[Insert Name]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Dear </w:t>
      </w:r>
      <w:r>
        <w:rPr>
          <w:rFonts w:ascii="Arial" w:cs="Arial" w:eastAsia="Arial" w:hAnsi="Arial"/>
          <w:sz w:val="22"/>
          <w:szCs w:val="22"/>
          <w:b w:val="1"/>
          <w:bCs w:val="1"/>
          <w:color w:val="auto"/>
        </w:rPr>
        <w:t>[Insert Name]</w:t>
      </w:r>
      <w:r>
        <w:rPr>
          <w:rFonts w:ascii="Arial" w:cs="Arial" w:eastAsia="Arial" w:hAnsi="Arial"/>
          <w:sz w:val="22"/>
          <w:szCs w:val="22"/>
          <w:color w:val="auto"/>
        </w:rPr>
        <w:t>:</w:t>
      </w:r>
    </w:p>
    <w:p>
      <w:pPr>
        <w:spacing w:after="0" w:line="104"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In connection with the termination of your employment with Ocular Therapeutix, Inc. (the “Company”) on </w:t>
      </w:r>
      <w:r>
        <w:rPr>
          <w:rFonts w:ascii="Arial" w:cs="Arial" w:eastAsia="Arial" w:hAnsi="Arial"/>
          <w:sz w:val="19"/>
          <w:szCs w:val="19"/>
          <w:b w:val="1"/>
          <w:bCs w:val="1"/>
          <w:color w:val="auto"/>
        </w:rPr>
        <w:t>[Separation Date]</w:t>
      </w:r>
      <w:r>
        <w:rPr>
          <w:rFonts w:ascii="Arial" w:cs="Arial" w:eastAsia="Arial" w:hAnsi="Arial"/>
          <w:sz w:val="19"/>
          <w:szCs w:val="19"/>
          <w:color w:val="auto"/>
        </w:rPr>
        <w:t>, you are eligible to receive the Severance Compensation as described in Section 4 (b)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Employment Agreement executed between you and the Company dated August 28, 2020 (the “Employment Agreement”) if you sign and return this letter agreement to me by </w:t>
      </w:r>
      <w:r>
        <w:rPr>
          <w:rFonts w:ascii="Arial" w:cs="Arial" w:eastAsia="Arial" w:hAnsi="Arial"/>
          <w:sz w:val="19"/>
          <w:szCs w:val="19"/>
          <w:b w:val="1"/>
          <w:bCs w:val="1"/>
          <w:color w:val="auto"/>
        </w:rPr>
        <w:t>[Return Date - 7/21/45 days from date of</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receipt of this letter agreement] [and it becomes binding between you and the Company </w:t>
      </w:r>
      <w:r>
        <w:rPr>
          <w:rFonts w:ascii="Arial" w:cs="Arial" w:eastAsia="Arial" w:hAnsi="Arial"/>
          <w:sz w:val="19"/>
          <w:szCs w:val="19"/>
          <w:color w:val="auto"/>
        </w:rPr>
        <w:t>]. By signing and</w:t>
      </w:r>
      <w:r>
        <w:rPr>
          <w:rFonts w:ascii="Arial" w:cs="Arial" w:eastAsia="Arial" w:hAnsi="Arial"/>
          <w:sz w:val="19"/>
          <w:szCs w:val="19"/>
          <w:b w:val="1"/>
          <w:bCs w:val="1"/>
          <w:color w:val="auto"/>
        </w:rPr>
        <w:t xml:space="preserve"> </w:t>
      </w:r>
      <w:r>
        <w:rPr>
          <w:rFonts w:ascii="Arial" w:cs="Arial" w:eastAsia="Arial" w:hAnsi="Arial"/>
          <w:sz w:val="19"/>
          <w:szCs w:val="19"/>
          <w:color w:val="auto"/>
        </w:rPr>
        <w:t>returning this letter agreement [</w:t>
      </w:r>
      <w:r>
        <w:rPr>
          <w:rFonts w:ascii="Arial" w:cs="Arial" w:eastAsia="Arial" w:hAnsi="Arial"/>
          <w:sz w:val="19"/>
          <w:szCs w:val="19"/>
          <w:b w:val="1"/>
          <w:bCs w:val="1"/>
          <w:color w:val="auto"/>
        </w:rPr>
        <w:t>and not revoking your acceptance]</w:t>
      </w:r>
      <w:r>
        <w:rPr>
          <w:rFonts w:ascii="Arial" w:cs="Arial" w:eastAsia="Arial" w:hAnsi="Arial"/>
          <w:sz w:val="19"/>
          <w:szCs w:val="19"/>
          <w:color w:val="auto"/>
        </w:rPr>
        <w:t>, you will be agreeing to the terms and conditions set forth in the numbered paragraphs below, including the release of claims set forth in paragraph 2. Therefore, you are advised to consult with an attorney before signing this letter agreement and you have been given at least [</w:t>
      </w:r>
      <w:r>
        <w:rPr>
          <w:rFonts w:ascii="Arial" w:cs="Arial" w:eastAsia="Arial" w:hAnsi="Arial"/>
          <w:sz w:val="19"/>
          <w:szCs w:val="19"/>
          <w:b w:val="1"/>
          <w:bCs w:val="1"/>
          <w:color w:val="auto"/>
        </w:rPr>
        <w:t>seven/twenty-one (21)/forty-five (45)]</w:t>
      </w:r>
      <w:r>
        <w:rPr>
          <w:rFonts w:ascii="Arial" w:cs="Arial" w:eastAsia="Arial" w:hAnsi="Arial"/>
          <w:sz w:val="19"/>
          <w:szCs w:val="19"/>
          <w:color w:val="auto"/>
        </w:rPr>
        <w:t xml:space="preserve"> </w:t>
      </w:r>
      <w:r>
        <w:rPr>
          <w:rFonts w:ascii="Arial" w:cs="Arial" w:eastAsia="Arial" w:hAnsi="Arial"/>
          <w:sz w:val="14"/>
          <w:szCs w:val="14"/>
          <w:b w:val="1"/>
          <w:bCs w:val="1"/>
          <w:color w:val="auto"/>
        </w:rPr>
        <w:t>2</w:t>
      </w:r>
      <w:r>
        <w:rPr>
          <w:rFonts w:ascii="Arial" w:cs="Arial" w:eastAsia="Arial" w:hAnsi="Arial"/>
          <w:sz w:val="19"/>
          <w:szCs w:val="19"/>
          <w:color w:val="auto"/>
        </w:rPr>
        <w:t>days to do so. [</w:t>
      </w:r>
      <w:r>
        <w:rPr>
          <w:rFonts w:ascii="Arial" w:cs="Arial" w:eastAsia="Arial" w:hAnsi="Arial"/>
          <w:sz w:val="19"/>
          <w:szCs w:val="19"/>
          <w:b w:val="1"/>
          <w:bCs w:val="1"/>
          <w:color w:val="auto"/>
        </w:rPr>
        <w:t>If you sign this letter agreement, you</w:t>
      </w:r>
      <w:r>
        <w:rPr>
          <w:rFonts w:ascii="Arial" w:cs="Arial" w:eastAsia="Arial" w:hAnsi="Arial"/>
          <w:sz w:val="19"/>
          <w:szCs w:val="19"/>
          <w:color w:val="auto"/>
        </w:rPr>
        <w:t xml:space="preserve"> </w:t>
      </w:r>
      <w:r>
        <w:rPr>
          <w:rFonts w:ascii="Arial" w:cs="Arial" w:eastAsia="Arial" w:hAnsi="Arial"/>
          <w:sz w:val="19"/>
          <w:szCs w:val="19"/>
          <w:b w:val="1"/>
          <w:bCs w:val="1"/>
          <w:color w:val="auto"/>
        </w:rPr>
        <w:t>may change your mind and revoke your agreement during the seven (7) day period after you have signed it by notifying me in writing. If you do not so revoke, this letter agreement will become a binding agreement between you and the Company upon the expiration of the seven (7) day period.]</w:t>
      </w:r>
    </w:p>
    <w:p>
      <w:pPr>
        <w:spacing w:after="0" w:line="161"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Although your receipt of the Severance Compensation is expressly conditioned on your entering into this letter agreement, the following will apply regardless of whether or not you do so:</w:t>
      </w:r>
    </w:p>
    <w:p>
      <w:pPr>
        <w:spacing w:after="0" w:line="175" w:lineRule="exact"/>
        <w:rPr>
          <w:sz w:val="20"/>
          <w:szCs w:val="20"/>
          <w:color w:val="auto"/>
        </w:rPr>
      </w:pPr>
    </w:p>
    <w:p>
      <w:pPr>
        <w:jc w:val="both"/>
        <w:ind w:left="1300" w:right="140" w:hanging="320"/>
        <w:spacing w:after="0"/>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As of the Separation Date, all salary payments from the Company will cease and any benefits you had as of the Separation Date under Company-provided benefit plans, programs, or practices will terminate, except as required by federal or state law.</w:t>
      </w:r>
    </w:p>
    <w:p>
      <w:pPr>
        <w:spacing w:after="0" w:line="186" w:lineRule="exact"/>
        <w:rPr>
          <w:rFonts w:ascii="Arial" w:cs="Arial" w:eastAsia="Arial" w:hAnsi="Arial"/>
          <w:sz w:val="22"/>
          <w:szCs w:val="22"/>
          <w:color w:val="auto"/>
        </w:rPr>
      </w:pPr>
    </w:p>
    <w:p>
      <w:pPr>
        <w:ind w:left="1300" w:right="60" w:hanging="320"/>
        <w:spacing w:after="0"/>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You will receive payment for your final wages and any unused vacation time accrued through the Separation Date and you will receive any other “Accrued Obligations” described in Section 4(a) of the Employment Agreement.</w:t>
      </w:r>
    </w:p>
    <w:p>
      <w:pPr>
        <w:spacing w:after="0" w:line="186" w:lineRule="exact"/>
        <w:rPr>
          <w:rFonts w:ascii="Arial" w:cs="Arial" w:eastAsia="Arial" w:hAnsi="Arial"/>
          <w:sz w:val="22"/>
          <w:szCs w:val="22"/>
          <w:color w:val="auto"/>
        </w:rPr>
      </w:pPr>
    </w:p>
    <w:p>
      <w:pPr>
        <w:ind w:left="1300" w:right="140" w:hanging="320"/>
        <w:spacing w:after="0"/>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You may, if eligible and at your own cost, elect to continue receiving group medical insurance pursuant to applicable “COBRA” law. Please consult the COBRA materials to be provided under separate cover for details regarding these benefits.</w:t>
      </w:r>
    </w:p>
    <w:p>
      <w:pPr>
        <w:spacing w:after="0" w:line="200" w:lineRule="exact"/>
        <w:rPr>
          <w:rFonts w:ascii="Arial" w:cs="Arial" w:eastAsia="Arial" w:hAnsi="Arial"/>
          <w:sz w:val="22"/>
          <w:szCs w:val="22"/>
          <w:color w:val="auto"/>
        </w:rPr>
      </w:pPr>
    </w:p>
    <w:p>
      <w:pPr>
        <w:spacing w:after="0" w:line="242" w:lineRule="exact"/>
        <w:rPr>
          <w:rFonts w:ascii="Arial" w:cs="Arial" w:eastAsia="Arial" w:hAnsi="Arial"/>
          <w:sz w:val="22"/>
          <w:szCs w:val="22"/>
          <w:color w:val="auto"/>
        </w:rPr>
      </w:pPr>
    </w:p>
    <w:p>
      <w:pPr>
        <w:ind w:left="340" w:right="140" w:hanging="324"/>
        <w:spacing w:after="0" w:line="261" w:lineRule="auto"/>
        <w:rPr>
          <w:rFonts w:ascii="Arial" w:cs="Arial" w:eastAsia="Arial" w:hAnsi="Arial"/>
          <w:sz w:val="22"/>
          <w:szCs w:val="22"/>
          <w:color w:val="auto"/>
        </w:rPr>
      </w:pPr>
      <w:r>
        <w:rPr>
          <w:rFonts w:ascii="Arial" w:cs="Arial" w:eastAsia="Arial" w:hAnsi="Arial"/>
          <w:sz w:val="15"/>
          <w:szCs w:val="15"/>
          <w:color w:val="auto"/>
        </w:rPr>
        <w:t xml:space="preserve">1 </w:t>
      </w:r>
      <w:r>
        <w:rPr>
          <w:rFonts w:ascii="Arial" w:cs="Arial" w:eastAsia="Arial" w:hAnsi="Arial"/>
          <w:sz w:val="20"/>
          <w:szCs w:val="20"/>
          <w:color w:val="auto"/>
        </w:rPr>
        <w:t>Note: The Company may revise this release agreement in its reasonable discretion to reflect changes in law,</w:t>
      </w:r>
      <w:r>
        <w:rPr>
          <w:rFonts w:ascii="Arial" w:cs="Arial" w:eastAsia="Arial" w:hAnsi="Arial"/>
          <w:sz w:val="15"/>
          <w:szCs w:val="15"/>
          <w:color w:val="auto"/>
        </w:rPr>
        <w:t xml:space="preserve"> </w:t>
      </w:r>
      <w:r>
        <w:rPr>
          <w:rFonts w:ascii="Arial" w:cs="Arial" w:eastAsia="Arial" w:hAnsi="Arial"/>
          <w:sz w:val="20"/>
          <w:szCs w:val="20"/>
          <w:color w:val="auto"/>
        </w:rPr>
        <w:t>additional statutes or claims, benefits, or employee’s circumstances, so that the Company receives the benefit of the most complete release of claims that is legally permissible (without releasing employee’s right to receive the Severance Compensation and without imposing additional post-employment restrictions), and the Company may also change the timing, if required by applicable law to obtain such release. This footnote and the other footnotes herein are part of the form of release and are to be removed only when the Company finalizes the letter agreement for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-1174750</wp:posOffset>
            </wp:positionV>
            <wp:extent cx="15684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46"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16"/>
          <w:szCs w:val="16"/>
          <w:color w:val="auto"/>
        </w:rPr>
      </w:pPr>
      <w:r>
        <w:rPr>
          <w:rFonts w:ascii="Arial" w:cs="Arial" w:eastAsia="Arial" w:hAnsi="Arial"/>
          <w:sz w:val="22"/>
          <w:szCs w:val="22"/>
          <w:color w:val="auto"/>
        </w:rPr>
        <w:t>Consideration period depends upon circumstances of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084" w:right="1019" w:bottom="1440" w:gutter="0" w:footer="0" w:header="0"/>
        </w:sectPr>
      </w:pPr>
    </w:p>
    <w:bookmarkStart w:id="215" w:name="page216"/>
    <w:bookmarkEnd w:id="215"/>
    <w:p>
      <w:pPr>
        <w:jc w:val="center"/>
        <w:spacing w:after="0"/>
        <w:rPr>
          <w:sz w:val="20"/>
          <w:szCs w:val="20"/>
          <w:color w:val="auto"/>
        </w:rPr>
      </w:pPr>
      <w:r>
        <w:rPr>
          <w:rFonts w:ascii="Arial" w:cs="Arial" w:eastAsia="Arial" w:hAnsi="Arial"/>
          <w:sz w:val="22"/>
          <w:szCs w:val="22"/>
          <w:color w:val="auto"/>
        </w:rPr>
        <w:t>-2-</w:t>
      </w:r>
    </w:p>
    <w:p>
      <w:pPr>
        <w:spacing w:after="0" w:line="382" w:lineRule="exact"/>
        <w:rPr>
          <w:sz w:val="20"/>
          <w:szCs w:val="20"/>
          <w:color w:val="auto"/>
        </w:rPr>
      </w:pPr>
    </w:p>
    <w:p>
      <w:pPr>
        <w:ind w:left="1300" w:right="20" w:hanging="320"/>
        <w:spacing w:after="0" w:line="277" w:lineRule="auto"/>
        <w:tabs>
          <w:tab w:leader="none" w:pos="130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You are obligated to keep confidential and not to use or disclose any and all non-public information concerning the Company that you acquired during the course of your employment with the Company, including any non-public information concerning the Company’s business affairs, business prospects, and financial condition, except as otherwise permitted by paragraph 9 below. Further, you remain subject to any and all continuing confidentiality, non-competition and/or non-solicitation obligations that you may have pursuant to any previous agreement with the Company, including, as may be applicable and without limitation, the Employment Agreement.</w:t>
      </w:r>
    </w:p>
    <w:p>
      <w:pPr>
        <w:spacing w:after="0" w:line="151" w:lineRule="exact"/>
        <w:rPr>
          <w:rFonts w:ascii="Arial" w:cs="Arial" w:eastAsia="Arial" w:hAnsi="Arial"/>
          <w:sz w:val="19"/>
          <w:szCs w:val="19"/>
          <w:color w:val="auto"/>
        </w:rPr>
      </w:pPr>
    </w:p>
    <w:p>
      <w:pPr>
        <w:ind w:left="1300" w:hanging="320"/>
        <w:spacing w:after="0"/>
        <w:tabs>
          <w:tab w:leader="none" w:pos="130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You must return to the Company no later than the Separation Date all Company property.</w:t>
      </w:r>
    </w:p>
    <w:p>
      <w:pPr>
        <w:spacing w:after="0" w:line="218" w:lineRule="exact"/>
        <w:rPr>
          <w:sz w:val="20"/>
          <w:szCs w:val="20"/>
          <w:color w:val="auto"/>
        </w:rPr>
      </w:pPr>
    </w:p>
    <w:p>
      <w:pPr>
        <w:ind w:right="300" w:firstLine="648"/>
        <w:spacing w:after="0" w:line="328" w:lineRule="auto"/>
        <w:rPr>
          <w:sz w:val="20"/>
          <w:szCs w:val="20"/>
          <w:color w:val="auto"/>
        </w:rPr>
      </w:pPr>
      <w:r>
        <w:rPr>
          <w:rFonts w:ascii="Arial" w:cs="Arial" w:eastAsia="Arial" w:hAnsi="Arial"/>
          <w:sz w:val="19"/>
          <w:szCs w:val="19"/>
          <w:color w:val="auto"/>
        </w:rPr>
        <w:t xml:space="preserve">The following numbered paragraphs set forth the terms and conditions that will also apply if you timely sign and return this letter agreement </w:t>
      </w:r>
      <w:r>
        <w:rPr>
          <w:rFonts w:ascii="Arial" w:cs="Arial" w:eastAsia="Arial" w:hAnsi="Arial"/>
          <w:sz w:val="19"/>
          <w:szCs w:val="19"/>
          <w:b w:val="1"/>
          <w:bCs w:val="1"/>
          <w:color w:val="auto"/>
        </w:rPr>
        <w:t>[and do not revoke it in writing within the seven (7) day period]</w:t>
      </w:r>
      <w:r>
        <w:rPr>
          <w:rFonts w:ascii="Arial" w:cs="Arial" w:eastAsia="Arial" w:hAnsi="Arial"/>
          <w:sz w:val="19"/>
          <w:szCs w:val="19"/>
          <w:color w:val="auto"/>
        </w:rPr>
        <w:t>.</w:t>
      </w:r>
    </w:p>
    <w:p>
      <w:pPr>
        <w:spacing w:after="0" w:line="99" w:lineRule="exact"/>
        <w:rPr>
          <w:sz w:val="20"/>
          <w:szCs w:val="20"/>
          <w:color w:val="auto"/>
        </w:rPr>
      </w:pPr>
    </w:p>
    <w:p>
      <w:pPr>
        <w:ind w:right="20" w:firstLine="656"/>
        <w:spacing w:after="0" w:line="289" w:lineRule="auto"/>
        <w:tabs>
          <w:tab w:leader="none" w:pos="1296" w:val="left"/>
        </w:tabs>
        <w:numPr>
          <w:ilvl w:val="0"/>
          <w:numId w:val="127"/>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Severance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 If you timely sign and return this letter agreement [and do not revoke</w:t>
      </w:r>
      <w:r>
        <w:rPr>
          <w:rFonts w:ascii="Arial" w:cs="Arial" w:eastAsia="Arial" w:hAnsi="Arial"/>
          <w:sz w:val="19"/>
          <w:szCs w:val="19"/>
          <w:b w:val="1"/>
          <w:bCs w:val="1"/>
          <w:color w:val="auto"/>
        </w:rPr>
        <w:t xml:space="preserve"> </w:t>
      </w:r>
      <w:r>
        <w:rPr>
          <w:rFonts w:ascii="Arial" w:cs="Arial" w:eastAsia="Arial" w:hAnsi="Arial"/>
          <w:sz w:val="19"/>
          <w:szCs w:val="19"/>
          <w:color w:val="auto"/>
        </w:rPr>
        <w:t>your acceptance], and provided you comply with all of your obligations set forth herein, the Company will provide you with the severance compensation and benefits set forth in Section 4(b) of the Employment Agreement (the “Severance Compensation”), subject to and in accordance with the terms and conditions thereof.</w:t>
      </w:r>
    </w:p>
    <w:p>
      <w:pPr>
        <w:spacing w:after="0" w:line="135" w:lineRule="exact"/>
        <w:rPr>
          <w:rFonts w:ascii="Arial" w:cs="Arial" w:eastAsia="Arial" w:hAnsi="Arial"/>
          <w:sz w:val="19"/>
          <w:szCs w:val="19"/>
          <w:color w:val="auto"/>
        </w:rPr>
      </w:pPr>
    </w:p>
    <w:p>
      <w:pPr>
        <w:ind w:firstLine="656"/>
        <w:spacing w:after="0" w:line="270" w:lineRule="auto"/>
        <w:tabs>
          <w:tab w:leader="none" w:pos="1296" w:val="left"/>
        </w:tabs>
        <w:numPr>
          <w:ilvl w:val="0"/>
          <w:numId w:val="127"/>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w:t>
      </w:r>
      <w:r>
        <w:rPr>
          <w:rFonts w:ascii="Arial" w:cs="Arial" w:eastAsia="Arial" w:hAnsi="Arial"/>
          <w:sz w:val="19"/>
          <w:szCs w:val="19"/>
          <w:b w:val="1"/>
          <w:bCs w:val="1"/>
          <w:color w:val="auto"/>
        </w:rPr>
        <w:t xml:space="preserve"> </w:t>
      </w:r>
      <w:r>
        <w:rPr>
          <w:rFonts w:ascii="Arial" w:cs="Arial" w:eastAsia="Arial" w:hAnsi="Arial"/>
          <w:sz w:val="19"/>
          <w:szCs w:val="19"/>
          <w:color w:val="auto"/>
        </w:rPr>
        <w:t>- In consideration of the Severance Compensation, which you acknowledge you would not</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be entitled to receive, you hereby fully, forever, irrevocably and unconditionally release, remise and discharge the Company, its affiliates, subsidiaries, parent companies, predecessors, and successors, and all of their respective past and present officers, directors, stockholders, partners, members, managers, employees, agents, representatives, plan administrators, attorneys, insurers and fiduciaries (each in their individual and corporate capacities) (collectively, the “Released Parties”)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you ever had or now have against any or all of the Released Parties, including, but not limited to, any and all claims arising out of or relating to your employment with and/or separation from the Company, including, but not limited to, all claims under Title VII of the Civil Rights Act of 1964, 42 U.S.C. § 2000e et seq., the Americans With Disabilities Act of 1990, 42 U.S.C. § 12101 et seq., [the Age Discrimination in Employment Act, 29 U.S.C. § 621 et seq.,] the Genetic Information Nondiscrimination Act of 2008, 42 U.S.C. § 2000ff et seq., the Family and Medical Leave Act, 29 U.S.C. § 2601 et seq., the Worker Adjustment and Retraining Notification Act (“WARN”), 29 U.S.C. § 2101 et seq., the Rehabilitation Act of 1973, 29 U.S.C. § 701 et seq., Executive Order 11246, Executive Order 11141, the Fair Credit Reporting Act, 15 U.S.C. § 1681 et seq., and the Employee Retirement Income Security Act of 1974 (“ERISA”), 29 U.S.C. § 1001 et seq., all as amended; all claims arising out of the Massachusetts Fair Employment Practices Act, Mass. Gen. Laws ch. 151B, § 1 et seq., the Massachusetts Wage Act, Mass. Gen. Laws ch. 149, § 148 et seq. (Massachusetts law regarding payment of wages and overtime), the Massachusetts Civil Rights Act, Mass. Gen. Laws ch. 12, §§ 11H and 11I, the Massachusetts Equal Rights Act, Mass. Gen. Laws. ch. 93, § 102 and Mass.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751840</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16" w:name="page217"/>
    <w:bookmarkEnd w:id="216"/>
    <w:p>
      <w:pPr>
        <w:jc w:val="center"/>
        <w:ind w:right="-59"/>
        <w:spacing w:after="0"/>
        <w:rPr>
          <w:sz w:val="20"/>
          <w:szCs w:val="20"/>
          <w:color w:val="auto"/>
        </w:rPr>
      </w:pPr>
      <w:r>
        <w:rPr>
          <w:rFonts w:ascii="Arial" w:cs="Arial" w:eastAsia="Arial" w:hAnsi="Arial"/>
          <w:sz w:val="22"/>
          <w:szCs w:val="22"/>
          <w:color w:val="auto"/>
        </w:rPr>
        <w:t>-3-</w:t>
      </w:r>
    </w:p>
    <w:p>
      <w:pPr>
        <w:spacing w:after="0" w:line="38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Gen. Laws ch. 214, § 1C, the Massachusetts Labor and Industries Act, Mass. Gen. Laws ch. 149, § 1 et seq., Mass. Gen. Laws ch. 214, § 1B (Massachusetts right of privacy law), the Massachusetts Maternity Leave Act, Mass. Gen. Laws ch. 149, § 105D, and the Massachusetts Small Necessities Leave Act, Mass. Gen. Laws ch. 149,</w:t>
      </w:r>
    </w:p>
    <w:p>
      <w:pPr>
        <w:spacing w:after="0" w:line="1" w:lineRule="exact"/>
        <w:rPr>
          <w:sz w:val="20"/>
          <w:szCs w:val="20"/>
          <w:color w:val="auto"/>
        </w:rPr>
      </w:pPr>
    </w:p>
    <w:p>
      <w:pPr>
        <w:ind w:right="60" w:firstLine="8"/>
        <w:spacing w:after="0" w:line="268" w:lineRule="auto"/>
        <w:tabs>
          <w:tab w:leader="none" w:pos="16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52D, all as amended; [Insert any other applicable Federal and state citations at the time of termination;] all common law claims including, but not limited to, actions in defamation, intentional infliction of emotional distress, misrepresentation, fraud, wrongful discharge, and breach of contract (including, without limitation, all claims arising out of or relating to the Employment Agreement); all claims to any ownership interest in the Company, contractual or otherwise; all state and federal whistleblower claims to the maximum extent permitted by law; and any claim or damage arising out of your employment with and/or separation from the Company (including a claim for retaliation) under any common law theory or any federal, state or local statute or ordinance not expressly referenced above; provided, however, that nothing in this letter agreement: (i) prevents you from filing a charge with, cooperating with, or participating in any investigation or proceeding before, the Equal Employment Opportunity Commission or a state fair employment practices agency (except that you acknowledge that you may not recover any monetary benefits in connection with any such charge, investigation, or proceeding, and you further waive any rights or claims to any payment, benefit, attorneys’ fees or other remedial relief in connection with any such charge, investigation or proceeding), (ii) deprives you of any accrued benefits to which you have acquired a vested right under any employee benefit plan or policy, stock plan or deferred compensation arrangement, any health care continuation to the extent required by applicable law or any agreement, or any right to severance benefits or any other benefits due to you upon termination of employment or thereafter that are described in Section 4 of the Employment Agreement; or (iii) deprives you of any rights you may have to be indemnified by the Company as provided in the Employment Agreement, any other agreement between the Company and you, or pursuant to the Company’s Certificate of Incorporation or by-laws. This Release shall not extend to any claims you may have against any persons that are Released Parties to the extent such claims are (i) related solely to your ownership of the Company’s stock and (ii) unrelated to your employment with the Company.</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firstLine="656"/>
        <w:spacing w:after="0" w:line="271" w:lineRule="auto"/>
        <w:tabs>
          <w:tab w:leader="none" w:pos="1296" w:val="left"/>
        </w:tabs>
        <w:numPr>
          <w:ilvl w:val="1"/>
          <w:numId w:val="128"/>
        </w:numPr>
        <w:rPr>
          <w:rFonts w:ascii="Arial" w:cs="Arial" w:eastAsia="Arial" w:hAnsi="Arial"/>
          <w:sz w:val="19"/>
          <w:szCs w:val="19"/>
          <w:color w:val="auto"/>
        </w:rPr>
      </w:pPr>
      <w:r>
        <w:rPr>
          <w:rFonts w:ascii="Arial" w:cs="Arial" w:eastAsia="Arial" w:hAnsi="Arial"/>
          <w:sz w:val="19"/>
          <w:szCs w:val="19"/>
          <w:b w:val="1"/>
          <w:bCs w:val="1"/>
          <w:u w:val="single" w:color="auto"/>
          <w:color w:val="auto"/>
        </w:rPr>
        <w:t>Continuing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 You acknowledge and reaffirm your confidentiality, non-competition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non-disclosure obligations discussed above, as well as any and all confidentiality and/or non-solicitation obligations set forth in any previous agreement you may have with the Company (including without limitation the Employment Agreement), which survive your separation from employment with the Company. In addition, as an express condition of your receipt of the Severance Compensation, you agree that, for a period of twelve (12) months following the Separation Date, you will not, without the prior consent of the Company, directly or indirectly, as a partner, stockholder, director, consultant, joint venture, investor, employee or in any other capacity, work for, provide services, engage in or own, manage, operate or control, or participate in the ownership, management, operation or control of any business or entity that engages in a substantially similar business or line of businesses as those conducted by the Company or any of its direct or indirect subsidiaries for which you worked or served at the time of your separation, in any market where such businesses or entity actually and directly competes against the Company; provided, however, that nothing herein shall prohibit you from owning not more than 1% of any class of securities of a publicly traded entity in any business or entity; and further provided however, that both you and the Company recognize and acknowledge that nothing in this paragraph 3 or elsewhere is intended to or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756285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58" w:right="10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22"/>
          <w:szCs w:val="22"/>
          <w:color w:val="auto"/>
        </w:rPr>
        <w:t>-4-</w:t>
      </w:r>
    </w:p>
    <w:p>
      <w:pPr>
        <w:spacing w:after="0" w:line="382" w:lineRule="exact"/>
        <w:rPr>
          <w:sz w:val="20"/>
          <w:szCs w:val="20"/>
          <w:color w:val="auto"/>
        </w:rPr>
      </w:pPr>
    </w:p>
    <w:p>
      <w:pPr>
        <w:ind w:right="120"/>
        <w:spacing w:after="0" w:line="244" w:lineRule="auto"/>
        <w:rPr>
          <w:sz w:val="20"/>
          <w:szCs w:val="20"/>
          <w:color w:val="auto"/>
        </w:rPr>
      </w:pPr>
      <w:r>
        <w:rPr>
          <w:rFonts w:ascii="Arial" w:cs="Arial" w:eastAsia="Arial" w:hAnsi="Arial"/>
          <w:sz w:val="21"/>
          <w:szCs w:val="21"/>
          <w:color w:val="auto"/>
        </w:rPr>
        <w:t>be interpreted to (x) restrict your ability, after you cease to be an employee of the Company, to practice law, in violation of the Massachusetts Rules of Professional Conduct 5.6 or other applicable rules of professional conduct; or (y) expand the scope of your duty to maintain privileged or confidential information obtained in connection with your role as counsel for the Company beyond what is permitted under Massachusetts Rules of Professional Conduct 1.6 and 1.9, or other applicable rules of professional conduct. If any restriction set forth in the foregoing sentence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 If you violate the non-competition provisions set forth in this paragraph, you shall continue to be bound by the restrictions set forth in such paragraph until a period of one year has expired without any violation of such provisions.</w:t>
      </w:r>
    </w:p>
    <w:p>
      <w:pPr>
        <w:spacing w:after="0" w:line="182" w:lineRule="exact"/>
        <w:rPr>
          <w:sz w:val="20"/>
          <w:szCs w:val="20"/>
          <w:color w:val="auto"/>
        </w:rPr>
      </w:pPr>
    </w:p>
    <w:p>
      <w:pPr>
        <w:ind w:firstLine="656"/>
        <w:spacing w:after="0" w:line="245" w:lineRule="auto"/>
        <w:tabs>
          <w:tab w:leader="none" w:pos="1296" w:val="left"/>
        </w:tabs>
        <w:numPr>
          <w:ilvl w:val="0"/>
          <w:numId w:val="129"/>
        </w:numPr>
        <w:rPr>
          <w:rFonts w:ascii="Arial" w:cs="Arial" w:eastAsia="Arial" w:hAnsi="Arial"/>
          <w:sz w:val="21"/>
          <w:szCs w:val="21"/>
          <w:color w:val="auto"/>
        </w:rPr>
      </w:pPr>
      <w:r>
        <w:rPr>
          <w:rFonts w:ascii="Arial" w:cs="Arial" w:eastAsia="Arial" w:hAnsi="Arial"/>
          <w:sz w:val="21"/>
          <w:szCs w:val="21"/>
          <w:b w:val="1"/>
          <w:bCs w:val="1"/>
          <w:u w:val="single" w:color="auto"/>
          <w:color w:val="auto"/>
        </w:rPr>
        <w:t>Non-Disparagement</w:t>
      </w:r>
      <w:r>
        <w:rPr>
          <w:rFonts w:ascii="Arial" w:cs="Arial" w:eastAsia="Arial" w:hAnsi="Arial"/>
          <w:sz w:val="21"/>
          <w:szCs w:val="21"/>
          <w:b w:val="1"/>
          <w:bCs w:val="1"/>
          <w:color w:val="auto"/>
        </w:rPr>
        <w:t xml:space="preserve"> </w:t>
      </w:r>
      <w:r>
        <w:rPr>
          <w:rFonts w:ascii="Arial" w:cs="Arial" w:eastAsia="Arial" w:hAnsi="Arial"/>
          <w:sz w:val="21"/>
          <w:szCs w:val="21"/>
          <w:color w:val="auto"/>
        </w:rPr>
        <w:t>- You understand and agree that, to the extent permitted by law and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permitted by paragraph 9 below, you will not, in public or private, make any false, disparaging, derogatory or defamatory statements, online (including, without limitation, on any social media, networking, or employer review site) or otherwise, to any person or entity, including, but not limited to, any media outlet, industry group, financial institution or current or former employee, board member, consultant, client or customer of the Company, regarding the Company or any of the other Released Parties, or regarding the Company’s business affairs, business prospects, or financial condition. The Company agrees to instruct its officers and members of the leadership team to not, in public or private, make any false, disparaging, derogatory or defamatory statements, online (including, without limitation, on any social media, networking, or employer review site) or otherwise, to any person or entity, including, but not limited to, any media outlet, industry group, financial institution or current or former employee, board member, consultant, client or customer of the Company, or potential employer, about you.</w:t>
      </w:r>
    </w:p>
    <w:p>
      <w:pPr>
        <w:spacing w:after="0" w:line="173" w:lineRule="exact"/>
        <w:rPr>
          <w:rFonts w:ascii="Arial" w:cs="Arial" w:eastAsia="Arial" w:hAnsi="Arial"/>
          <w:sz w:val="21"/>
          <w:szCs w:val="21"/>
          <w:color w:val="auto"/>
        </w:rPr>
      </w:pPr>
    </w:p>
    <w:p>
      <w:pPr>
        <w:ind w:right="20" w:firstLine="656"/>
        <w:spacing w:after="0" w:line="271" w:lineRule="auto"/>
        <w:tabs>
          <w:tab w:leader="none" w:pos="1296" w:val="left"/>
        </w:tabs>
        <w:numPr>
          <w:ilvl w:val="0"/>
          <w:numId w:val="129"/>
        </w:numPr>
        <w:rPr>
          <w:rFonts w:ascii="Arial" w:cs="Arial" w:eastAsia="Arial" w:hAnsi="Arial"/>
          <w:sz w:val="19"/>
          <w:szCs w:val="19"/>
          <w:color w:val="auto"/>
        </w:rPr>
      </w:pPr>
      <w:r>
        <w:rPr>
          <w:rFonts w:ascii="Arial" w:cs="Arial" w:eastAsia="Arial" w:hAnsi="Arial"/>
          <w:sz w:val="19"/>
          <w:szCs w:val="19"/>
          <w:b w:val="1"/>
          <w:bCs w:val="1"/>
          <w:u w:val="single" w:color="auto"/>
          <w:color w:val="auto"/>
        </w:rPr>
        <w:t>Cooperation</w:t>
      </w:r>
      <w:r>
        <w:rPr>
          <w:rFonts w:ascii="Arial" w:cs="Arial" w:eastAsia="Arial" w:hAnsi="Arial"/>
          <w:sz w:val="19"/>
          <w:szCs w:val="19"/>
          <w:b w:val="1"/>
          <w:bCs w:val="1"/>
          <w:color w:val="auto"/>
        </w:rPr>
        <w:t xml:space="preserve"> </w:t>
      </w:r>
      <w:r>
        <w:rPr>
          <w:rFonts w:ascii="Arial" w:cs="Arial" w:eastAsia="Arial" w:hAnsi="Arial"/>
          <w:sz w:val="19"/>
          <w:szCs w:val="19"/>
          <w:color w:val="auto"/>
        </w:rPr>
        <w:t>- You agree that, to the extent permitted by law and upon reasonable request, you</w:t>
      </w:r>
      <w:r>
        <w:rPr>
          <w:rFonts w:ascii="Arial" w:cs="Arial" w:eastAsia="Arial" w:hAnsi="Arial"/>
          <w:sz w:val="19"/>
          <w:szCs w:val="19"/>
          <w:b w:val="1"/>
          <w:bCs w:val="1"/>
          <w:color w:val="auto"/>
        </w:rPr>
        <w:t xml:space="preserve"> </w:t>
      </w:r>
      <w:r>
        <w:rPr>
          <w:rFonts w:ascii="Arial" w:cs="Arial" w:eastAsia="Arial" w:hAnsi="Arial"/>
          <w:sz w:val="19"/>
          <w:szCs w:val="19"/>
          <w:color w:val="auto"/>
        </w:rPr>
        <w:t>shall cooperate fully with the Company in the investigation, defense or prosecution of any claims or actions which already have been brought, are currently pending, or which may be brought in the future against the Company by a third party or by or on behalf of the Company against any third party, whether before a state or federal court, any state or federal government agency, or a mediator or arbitrator. Your full cooperation in connection with such claims or actions shall include, but not be limited to, being available to meet with the Company’s counsel, at reasonable times and locations designated by the Company, to investigate or prepare the Company’s claims or defenses, to prepare for trial or discovery or an administrative hearing, mediation, arbitration or other proceeding and to act as a witness when requested by the Company. The Company will reimburse you for the reasonable and documented out-of-pocket expenses you may incur in connection with your cooperation under this paragraph 5. You further agree that, to the extent permitted by law or unless you are directed otherwise by a court or government agency, you will notify the Company promptly in the event that you are served with a subpoena (other than a subpoena issued by a government agency), or in the event that you are asked to provide a third party (other than a government agency) with information concerning any actual or potential complaint or claim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756285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18" w:name="page219"/>
    <w:bookmarkEnd w:id="218"/>
    <w:p>
      <w:pPr>
        <w:jc w:val="center"/>
        <w:spacing w:after="0"/>
        <w:rPr>
          <w:sz w:val="20"/>
          <w:szCs w:val="20"/>
          <w:color w:val="auto"/>
        </w:rPr>
      </w:pPr>
      <w:r>
        <w:rPr>
          <w:rFonts w:ascii="Arial" w:cs="Arial" w:eastAsia="Arial" w:hAnsi="Arial"/>
          <w:sz w:val="22"/>
          <w:szCs w:val="22"/>
          <w:color w:val="auto"/>
        </w:rPr>
        <w:t>-5-</w:t>
      </w:r>
    </w:p>
    <w:p>
      <w:pPr>
        <w:spacing w:after="0" w:line="376" w:lineRule="exact"/>
        <w:rPr>
          <w:sz w:val="20"/>
          <w:szCs w:val="20"/>
          <w:color w:val="auto"/>
        </w:rPr>
      </w:pPr>
    </w:p>
    <w:p>
      <w:pPr>
        <w:ind w:left="-20" w:firstLine="656"/>
        <w:spacing w:after="0" w:line="276" w:lineRule="auto"/>
        <w:tabs>
          <w:tab w:leader="none" w:pos="1276" w:val="left"/>
        </w:tabs>
        <w:numPr>
          <w:ilvl w:val="0"/>
          <w:numId w:val="130"/>
        </w:numPr>
        <w:rPr>
          <w:rFonts w:ascii="Arial" w:cs="Arial" w:eastAsia="Arial" w:hAnsi="Arial"/>
          <w:sz w:val="19"/>
          <w:szCs w:val="19"/>
          <w:color w:val="auto"/>
        </w:rPr>
      </w:pPr>
      <w:r>
        <w:rPr>
          <w:rFonts w:ascii="Arial" w:cs="Arial" w:eastAsia="Arial" w:hAnsi="Arial"/>
          <w:sz w:val="19"/>
          <w:szCs w:val="19"/>
          <w:b w:val="1"/>
          <w:bCs w:val="1"/>
          <w:u w:val="single" w:color="auto"/>
          <w:color w:val="auto"/>
        </w:rPr>
        <w:t>Return of Company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 You confirm that you have returned to the Company all keys,</w:t>
      </w:r>
      <w:r>
        <w:rPr>
          <w:rFonts w:ascii="Arial" w:cs="Arial" w:eastAsia="Arial" w:hAnsi="Arial"/>
          <w:sz w:val="19"/>
          <w:szCs w:val="19"/>
          <w:b w:val="1"/>
          <w:bCs w:val="1"/>
          <w:color w:val="auto"/>
        </w:rPr>
        <w:t xml:space="preserve"> </w:t>
      </w:r>
      <w:r>
        <w:rPr>
          <w:rFonts w:ascii="Arial" w:cs="Arial" w:eastAsia="Arial" w:hAnsi="Arial"/>
          <w:sz w:val="19"/>
          <w:szCs w:val="19"/>
          <w:color w:val="auto"/>
        </w:rPr>
        <w:t>files, records (and copies thereof), equipment (including, but not limited to, computer hardware, software and printers, flash drives and storage devices, wireless handheld devices, cellular phones, tablets, etc.), Company identification, and any other Company-owned property in your possession or control and have left intact all electronic Company documents, including but not limited to those that you developed or helped to develop during your employment, and you have not retained any copies. You further confirm that you have cancelled all accounts for your benefit, if any, in the Company’s name, including but not limited to, credit cards, telephone charge cards, cellular phone accounts, and computer accounts.</w:t>
      </w:r>
    </w:p>
    <w:p>
      <w:pPr>
        <w:spacing w:after="0" w:line="149" w:lineRule="exact"/>
        <w:rPr>
          <w:rFonts w:ascii="Arial" w:cs="Arial" w:eastAsia="Arial" w:hAnsi="Arial"/>
          <w:sz w:val="19"/>
          <w:szCs w:val="19"/>
          <w:color w:val="auto"/>
        </w:rPr>
      </w:pPr>
    </w:p>
    <w:p>
      <w:pPr>
        <w:ind w:left="-20" w:right="80" w:firstLine="656"/>
        <w:spacing w:after="0" w:line="236" w:lineRule="auto"/>
        <w:tabs>
          <w:tab w:leader="none" w:pos="1276" w:val="left"/>
        </w:tabs>
        <w:numPr>
          <w:ilvl w:val="0"/>
          <w:numId w:val="130"/>
        </w:numPr>
        <w:rPr>
          <w:rFonts w:ascii="Arial" w:cs="Arial" w:eastAsia="Arial" w:hAnsi="Arial"/>
          <w:sz w:val="22"/>
          <w:szCs w:val="22"/>
          <w:color w:val="auto"/>
        </w:rPr>
      </w:pPr>
      <w:r>
        <w:rPr>
          <w:rFonts w:ascii="Arial" w:cs="Arial" w:eastAsia="Arial" w:hAnsi="Arial"/>
          <w:sz w:val="22"/>
          <w:szCs w:val="22"/>
          <w:b w:val="1"/>
          <w:bCs w:val="1"/>
          <w:u w:val="single" w:color="auto"/>
          <w:color w:val="auto"/>
        </w:rPr>
        <w:t>Business Expenses and Final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 You acknowledge that you have been reimbursed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Company for all business expenses incurred in conjunction with the performance of your employment and that no other reimbursements are owed to you. You further acknowledge that you have received payment in full for all services rendered in conjunction with your employment by the Company, including payment for all wages, bonuses, and accrued, unused vacation time, and that no other compensation is owed to you except as provided herein.</w:t>
      </w:r>
    </w:p>
    <w:p>
      <w:pPr>
        <w:spacing w:after="0" w:line="181" w:lineRule="exact"/>
        <w:rPr>
          <w:rFonts w:ascii="Arial" w:cs="Arial" w:eastAsia="Arial" w:hAnsi="Arial"/>
          <w:sz w:val="22"/>
          <w:szCs w:val="22"/>
          <w:color w:val="auto"/>
        </w:rPr>
      </w:pPr>
    </w:p>
    <w:p>
      <w:pPr>
        <w:ind w:left="-20" w:right="20" w:firstLine="656"/>
        <w:spacing w:after="0" w:line="289" w:lineRule="auto"/>
        <w:tabs>
          <w:tab w:leader="none" w:pos="1276" w:val="left"/>
        </w:tabs>
        <w:numPr>
          <w:ilvl w:val="0"/>
          <w:numId w:val="130"/>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 You understand and agree that, to the extent permitted by law and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permitted by paragraph 9 below, the terms and contents of this letter agreement, and the contents of the negotiations and discussions resulting in this letter agreement, shall be maintained as confidential by you and your agents and representatives and shall not be disclosed except as otherwise agreed to in writing by the Company.</w:t>
      </w:r>
    </w:p>
    <w:p>
      <w:pPr>
        <w:spacing w:after="0" w:line="135" w:lineRule="exact"/>
        <w:rPr>
          <w:rFonts w:ascii="Arial" w:cs="Arial" w:eastAsia="Arial" w:hAnsi="Arial"/>
          <w:sz w:val="19"/>
          <w:szCs w:val="19"/>
          <w:color w:val="auto"/>
        </w:rPr>
      </w:pPr>
    </w:p>
    <w:p>
      <w:pPr>
        <w:ind w:left="-20" w:right="20" w:firstLine="656"/>
        <w:spacing w:after="0" w:line="271" w:lineRule="auto"/>
        <w:tabs>
          <w:tab w:leader="none" w:pos="1276" w:val="left"/>
        </w:tabs>
        <w:numPr>
          <w:ilvl w:val="0"/>
          <w:numId w:val="130"/>
        </w:numPr>
        <w:rPr>
          <w:rFonts w:ascii="Arial" w:cs="Arial" w:eastAsia="Arial" w:hAnsi="Arial"/>
          <w:sz w:val="19"/>
          <w:szCs w:val="19"/>
          <w:color w:val="auto"/>
        </w:rPr>
      </w:pPr>
      <w:r>
        <w:rPr>
          <w:rFonts w:ascii="Arial" w:cs="Arial" w:eastAsia="Arial" w:hAnsi="Arial"/>
          <w:sz w:val="19"/>
          <w:szCs w:val="19"/>
          <w:b w:val="1"/>
          <w:bCs w:val="1"/>
          <w:u w:val="single" w:color="auto"/>
          <w:color w:val="auto"/>
        </w:rPr>
        <w:t>Scope of Disclosure Restrictions -</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letter agreement or elsewhere prohibits you</w:t>
      </w:r>
      <w:r>
        <w:rPr>
          <w:rFonts w:ascii="Arial" w:cs="Arial" w:eastAsia="Arial" w:hAnsi="Arial"/>
          <w:sz w:val="19"/>
          <w:szCs w:val="19"/>
          <w:b w:val="1"/>
          <w:bCs w:val="1"/>
          <w:color w:val="auto"/>
        </w:rPr>
        <w:t xml:space="preserve"> </w:t>
      </w:r>
      <w:r>
        <w:rPr>
          <w:rFonts w:ascii="Arial" w:cs="Arial" w:eastAsia="Arial" w:hAnsi="Arial"/>
          <w:sz w:val="19"/>
          <w:szCs w:val="19"/>
          <w:color w:val="auto"/>
        </w:rPr>
        <w:t>from: (i) communicating with government agencies about possible violations of federal, state, or local laws or otherwise providing information to government agencies: (ii) filing a complaint with government agencies, or participating in government agency investigations or proceedings; (iii) disclosing information required by applicable law, or in confidence to your attorney or professional advisor for the purpose of obtaining professional advice; or (iv) enforcing your rights against the Company. You are not required to notify the Company of any such communications; provided, however, that nothing herein authorizes the disclosure of information you obtained through a communication that was subject to the attorney-client privilege. Further, notwithstanding your confidentiality and nondisclosure obligations, you are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399" w:lineRule="exact"/>
        <w:rPr>
          <w:rFonts w:ascii="Arial" w:cs="Arial" w:eastAsia="Arial" w:hAnsi="Arial"/>
          <w:sz w:val="19"/>
          <w:szCs w:val="19"/>
          <w:color w:val="auto"/>
        </w:rPr>
      </w:pPr>
    </w:p>
    <w:p>
      <w:pPr>
        <w:ind w:left="-20" w:right="60" w:firstLine="656"/>
        <w:spacing w:after="0" w:line="256" w:lineRule="auto"/>
        <w:tabs>
          <w:tab w:leader="none" w:pos="1276" w:val="left"/>
        </w:tabs>
        <w:numPr>
          <w:ilvl w:val="0"/>
          <w:numId w:val="130"/>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and Waiver</w:t>
      </w:r>
      <w:r>
        <w:rPr>
          <w:rFonts w:ascii="Arial" w:cs="Arial" w:eastAsia="Arial" w:hAnsi="Arial"/>
          <w:sz w:val="22"/>
          <w:szCs w:val="22"/>
          <w:b w:val="1"/>
          <w:bCs w:val="1"/>
          <w:color w:val="auto"/>
        </w:rPr>
        <w:t xml:space="preserve"> </w:t>
      </w:r>
      <w:r>
        <w:rPr>
          <w:rFonts w:ascii="Arial" w:cs="Arial" w:eastAsia="Arial" w:hAnsi="Arial"/>
          <w:sz w:val="22"/>
          <w:szCs w:val="22"/>
          <w:color w:val="auto"/>
        </w:rPr>
        <w:t>- This letter agreement shall be binding upon the parties and may not be</w:t>
      </w:r>
      <w:r>
        <w:rPr>
          <w:rFonts w:ascii="Arial" w:cs="Arial" w:eastAsia="Arial" w:hAnsi="Arial"/>
          <w:sz w:val="22"/>
          <w:szCs w:val="22"/>
          <w:b w:val="1"/>
          <w:bCs w:val="1"/>
          <w:color w:val="auto"/>
        </w:rPr>
        <w:t xml:space="preserve"> </w:t>
      </w:r>
      <w:r>
        <w:rPr>
          <w:rFonts w:ascii="Arial" w:cs="Arial" w:eastAsia="Arial" w:hAnsi="Arial"/>
          <w:sz w:val="22"/>
          <w:szCs w:val="22"/>
          <w:color w:val="auto"/>
        </w:rPr>
        <w:t>modified in any manner, except by an instrument in writing of concurrent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600710</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658" w:right="101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22"/>
          <w:szCs w:val="22"/>
          <w:color w:val="auto"/>
        </w:rPr>
        <w:t>-6-</w:t>
      </w:r>
    </w:p>
    <w:p>
      <w:pPr>
        <w:spacing w:after="0" w:line="38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or subsequent date signed by duly authorized representatives of the parties hereto. This letter agreement is binding upon and shall inure to the benefit of the parties and their respective agents, assigns, heirs, executors, successors and administrators. No delay or omission by the Company in exercising any right under this letter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82" w:lineRule="exact"/>
        <w:rPr>
          <w:sz w:val="20"/>
          <w:szCs w:val="20"/>
          <w:color w:val="auto"/>
        </w:rPr>
      </w:pPr>
    </w:p>
    <w:p>
      <w:pPr>
        <w:jc w:val="both"/>
        <w:ind w:right="100" w:firstLine="656"/>
        <w:spacing w:after="0" w:line="239" w:lineRule="auto"/>
        <w:tabs>
          <w:tab w:leader="none" w:pos="1296" w:val="left"/>
        </w:tabs>
        <w:numPr>
          <w:ilvl w:val="1"/>
          <w:numId w:val="131"/>
        </w:numPr>
        <w:rPr>
          <w:rFonts w:ascii="Arial" w:cs="Arial" w:eastAsia="Arial" w:hAnsi="Arial"/>
          <w:sz w:val="22"/>
          <w:szCs w:val="22"/>
          <w:color w:val="auto"/>
        </w:rPr>
      </w:pPr>
      <w:r>
        <w:rPr>
          <w:rFonts w:ascii="Arial" w:cs="Arial" w:eastAsia="Arial" w:hAnsi="Arial"/>
          <w:sz w:val="22"/>
          <w:szCs w:val="22"/>
          <w:b w:val="1"/>
          <w:bCs w:val="1"/>
          <w:u w:val="single" w:color="auto"/>
          <w:color w:val="auto"/>
        </w:rPr>
        <w:t>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 Should any provision of this letter agreement be declared or be determined by any court</w:t>
      </w:r>
      <w:r>
        <w:rPr>
          <w:rFonts w:ascii="Arial" w:cs="Arial" w:eastAsia="Arial" w:hAnsi="Arial"/>
          <w:sz w:val="22"/>
          <w:szCs w:val="22"/>
          <w:b w:val="1"/>
          <w:bCs w:val="1"/>
          <w:color w:val="auto"/>
        </w:rPr>
        <w:t xml:space="preserve"> </w:t>
      </w:r>
      <w:r>
        <w:rPr>
          <w:rFonts w:ascii="Arial" w:cs="Arial" w:eastAsia="Arial" w:hAnsi="Arial"/>
          <w:sz w:val="22"/>
          <w:szCs w:val="22"/>
          <w:color w:val="auto"/>
        </w:rPr>
        <w:t>of competent jurisdiction to be illegal or invalid, the validity of the remaining parts, terms or provisions shall not be affected thereby and said illegal or invalid part, term or provision shall be deemed not to be a part of this letter agreement.</w:t>
      </w:r>
    </w:p>
    <w:p>
      <w:pPr>
        <w:spacing w:after="0" w:line="180" w:lineRule="exact"/>
        <w:rPr>
          <w:rFonts w:ascii="Arial" w:cs="Arial" w:eastAsia="Arial" w:hAnsi="Arial"/>
          <w:sz w:val="22"/>
          <w:szCs w:val="22"/>
          <w:color w:val="auto"/>
        </w:rPr>
      </w:pPr>
    </w:p>
    <w:p>
      <w:pPr>
        <w:ind w:right="780" w:firstLine="656"/>
        <w:spacing w:after="0" w:line="334" w:lineRule="auto"/>
        <w:tabs>
          <w:tab w:leader="none" w:pos="1296" w:val="left"/>
        </w:tabs>
        <w:numPr>
          <w:ilvl w:val="1"/>
          <w:numId w:val="131"/>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You understand and agree that this letter agreement is a severance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does not constitute an admission of liability or wrongdoing on the part of the Company.</w:t>
      </w:r>
    </w:p>
    <w:p>
      <w:pPr>
        <w:spacing w:after="0" w:line="93" w:lineRule="exact"/>
        <w:rPr>
          <w:rFonts w:ascii="Arial" w:cs="Arial" w:eastAsia="Arial" w:hAnsi="Arial"/>
          <w:sz w:val="19"/>
          <w:szCs w:val="19"/>
          <w:color w:val="auto"/>
        </w:rPr>
      </w:pPr>
    </w:p>
    <w:p>
      <w:pPr>
        <w:ind w:left="1300" w:hanging="644"/>
        <w:spacing w:after="0"/>
        <w:tabs>
          <w:tab w:leader="none" w:pos="1300" w:val="left"/>
        </w:tabs>
        <w:numPr>
          <w:ilvl w:val="1"/>
          <w:numId w:val="131"/>
        </w:numPr>
        <w:rPr>
          <w:rFonts w:ascii="Arial" w:cs="Arial" w:eastAsia="Arial" w:hAnsi="Arial"/>
          <w:sz w:val="19"/>
          <w:szCs w:val="19"/>
          <w:color w:val="auto"/>
        </w:rPr>
      </w:pPr>
      <w:r>
        <w:rPr>
          <w:rFonts w:ascii="Arial" w:cs="Arial" w:eastAsia="Arial" w:hAnsi="Arial"/>
          <w:sz w:val="19"/>
          <w:szCs w:val="19"/>
          <w:b w:val="1"/>
          <w:bCs w:val="1"/>
          <w:u w:val="single" w:color="auto"/>
          <w:color w:val="auto"/>
        </w:rPr>
        <w:t>Acknowledgments</w:t>
      </w:r>
      <w:r>
        <w:rPr>
          <w:rFonts w:ascii="Arial" w:cs="Arial" w:eastAsia="Arial" w:hAnsi="Arial"/>
          <w:sz w:val="19"/>
          <w:szCs w:val="19"/>
          <w:b w:val="1"/>
          <w:bCs w:val="1"/>
          <w:color w:val="auto"/>
        </w:rPr>
        <w:t xml:space="preserve"> </w:t>
      </w:r>
      <w:r>
        <w:rPr>
          <w:rFonts w:ascii="Arial" w:cs="Arial" w:eastAsia="Arial" w:hAnsi="Arial"/>
          <w:sz w:val="19"/>
          <w:szCs w:val="19"/>
          <w:color w:val="auto"/>
        </w:rPr>
        <w:t>- You acknowledge that you have been given at least [seven (7) / twenty-one</w:t>
      </w:r>
    </w:p>
    <w:p>
      <w:pPr>
        <w:spacing w:after="0" w:line="48" w:lineRule="exact"/>
        <w:rPr>
          <w:rFonts w:ascii="Arial" w:cs="Arial" w:eastAsia="Arial" w:hAnsi="Arial"/>
          <w:sz w:val="19"/>
          <w:szCs w:val="19"/>
          <w:color w:val="auto"/>
        </w:rPr>
      </w:pPr>
    </w:p>
    <w:p>
      <w:pPr>
        <w:ind w:firstLine="8"/>
        <w:spacing w:after="0" w:line="243" w:lineRule="auto"/>
        <w:tabs>
          <w:tab w:leader="none" w:pos="414"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 forty-five (45)] days to consider this letter agreement, and that the Company advised you to consult with an attorney of your own choosing prior to signing this letter agreement. </w:t>
      </w:r>
      <w:r>
        <w:rPr>
          <w:rFonts w:ascii="Arial" w:cs="Arial" w:eastAsia="Arial" w:hAnsi="Arial"/>
          <w:sz w:val="21"/>
          <w:szCs w:val="21"/>
          <w:b w:val="1"/>
          <w:bCs w:val="1"/>
          <w:color w:val="auto"/>
        </w:rPr>
        <w:t>[You understand that you may revoke this</w:t>
      </w:r>
      <w:r>
        <w:rPr>
          <w:rFonts w:ascii="Arial" w:cs="Arial" w:eastAsia="Arial" w:hAnsi="Arial"/>
          <w:sz w:val="21"/>
          <w:szCs w:val="21"/>
          <w:color w:val="auto"/>
        </w:rPr>
        <w:t xml:space="preserve"> </w:t>
      </w:r>
      <w:r>
        <w:rPr>
          <w:rFonts w:ascii="Arial" w:cs="Arial" w:eastAsia="Arial" w:hAnsi="Arial"/>
          <w:sz w:val="21"/>
          <w:szCs w:val="21"/>
          <w:b w:val="1"/>
          <w:bCs w:val="1"/>
          <w:color w:val="auto"/>
        </w:rPr>
        <w:t>letter agreement for a period of seven (7) days after you sign this letter agreement by notifying me in writing, and the letter agreement shall not be effective or enforceable until the expiration of this seven (7) day revocation period. You understand and agree that by entering into this letter agreement, you are waiving any and all rights or claims you might have under the Age Discrimination in Employment Act, as amended by the Older Workers Benefit Protection Act, and that you have received consideration beyond that to which you were previously entitled.]</w:t>
      </w:r>
    </w:p>
    <w:p>
      <w:pPr>
        <w:spacing w:after="0" w:line="180" w:lineRule="exact"/>
        <w:rPr>
          <w:rFonts w:ascii="Arial" w:cs="Arial" w:eastAsia="Arial" w:hAnsi="Arial"/>
          <w:sz w:val="21"/>
          <w:szCs w:val="21"/>
          <w:color w:val="auto"/>
        </w:rPr>
      </w:pPr>
    </w:p>
    <w:p>
      <w:pPr>
        <w:ind w:right="20" w:firstLine="656"/>
        <w:spacing w:after="0" w:line="280" w:lineRule="auto"/>
        <w:tabs>
          <w:tab w:leader="none" w:pos="1296" w:val="left"/>
        </w:tabs>
        <w:numPr>
          <w:ilvl w:val="1"/>
          <w:numId w:val="132"/>
        </w:numPr>
        <w:rPr>
          <w:rFonts w:ascii="Arial" w:cs="Arial" w:eastAsia="Arial" w:hAnsi="Arial"/>
          <w:sz w:val="19"/>
          <w:szCs w:val="19"/>
          <w:color w:val="auto"/>
        </w:rPr>
      </w:pPr>
      <w:r>
        <w:rPr>
          <w:rFonts w:ascii="Arial" w:cs="Arial" w:eastAsia="Arial" w:hAnsi="Arial"/>
          <w:sz w:val="19"/>
          <w:szCs w:val="19"/>
          <w:b w:val="1"/>
          <w:bCs w:val="1"/>
          <w:u w:val="single" w:color="auto"/>
          <w:color w:val="auto"/>
        </w:rPr>
        <w:t>[Eligibility for Severance Program</w:t>
      </w:r>
      <w:r>
        <w:rPr>
          <w:rFonts w:ascii="Arial" w:cs="Arial" w:eastAsia="Arial" w:hAnsi="Arial"/>
          <w:sz w:val="19"/>
          <w:szCs w:val="19"/>
          <w:b w:val="1"/>
          <w:bCs w:val="1"/>
          <w:color w:val="auto"/>
        </w:rPr>
        <w:t xml:space="preserve"> - Attached to this letter agreement as Attachment A is a description of (i) any class, unit or group of individuals covered by the program of severance benefits which the Company has offered to you, and any applicable time limits regarding such severance benefit program; and (ii) the job title and ages of all individuals eligible or selected for such severance benefit program, and the ages of all individuals in the same job classification or organizational unit who are not eligible or who were not selected for such severance benefit program.]</w:t>
      </w:r>
    </w:p>
    <w:p>
      <w:pPr>
        <w:spacing w:after="0" w:line="144" w:lineRule="exact"/>
        <w:rPr>
          <w:rFonts w:ascii="Arial" w:cs="Arial" w:eastAsia="Arial" w:hAnsi="Arial"/>
          <w:sz w:val="19"/>
          <w:szCs w:val="19"/>
          <w:color w:val="auto"/>
        </w:rPr>
      </w:pPr>
    </w:p>
    <w:p>
      <w:pPr>
        <w:ind w:right="100" w:firstLine="656"/>
        <w:spacing w:after="0" w:line="273" w:lineRule="auto"/>
        <w:tabs>
          <w:tab w:leader="none" w:pos="1296" w:val="left"/>
        </w:tabs>
        <w:numPr>
          <w:ilvl w:val="1"/>
          <w:numId w:val="132"/>
        </w:numPr>
        <w:rPr>
          <w:rFonts w:ascii="Arial" w:cs="Arial" w:eastAsia="Arial" w:hAnsi="Arial"/>
          <w:sz w:val="19"/>
          <w:szCs w:val="19"/>
          <w:color w:val="auto"/>
        </w:rPr>
      </w:pPr>
      <w:r>
        <w:rPr>
          <w:rFonts w:ascii="Arial" w:cs="Arial" w:eastAsia="Arial" w:hAnsi="Arial"/>
          <w:sz w:val="19"/>
          <w:szCs w:val="19"/>
          <w:b w:val="1"/>
          <w:bCs w:val="1"/>
          <w:u w:val="single" w:color="auto"/>
          <w:color w:val="auto"/>
        </w:rPr>
        <w:t>Voluntary Assent</w:t>
      </w:r>
      <w:r>
        <w:rPr>
          <w:rFonts w:ascii="Arial" w:cs="Arial" w:eastAsia="Arial" w:hAnsi="Arial"/>
          <w:sz w:val="19"/>
          <w:szCs w:val="19"/>
          <w:b w:val="1"/>
          <w:bCs w:val="1"/>
          <w:color w:val="auto"/>
        </w:rPr>
        <w:t xml:space="preserve"> </w:t>
      </w:r>
      <w:r>
        <w:rPr>
          <w:rFonts w:ascii="Arial" w:cs="Arial" w:eastAsia="Arial" w:hAnsi="Arial"/>
          <w:sz w:val="19"/>
          <w:szCs w:val="19"/>
          <w:color w:val="auto"/>
        </w:rPr>
        <w:t>- You affirm that no other promises or agreements of any kind have been made</w:t>
      </w:r>
      <w:r>
        <w:rPr>
          <w:rFonts w:ascii="Arial" w:cs="Arial" w:eastAsia="Arial" w:hAnsi="Arial"/>
          <w:sz w:val="19"/>
          <w:szCs w:val="19"/>
          <w:b w:val="1"/>
          <w:bCs w:val="1"/>
          <w:color w:val="auto"/>
        </w:rPr>
        <w:t xml:space="preserve"> </w:t>
      </w:r>
      <w:r>
        <w:rPr>
          <w:rFonts w:ascii="Arial" w:cs="Arial" w:eastAsia="Arial" w:hAnsi="Arial"/>
          <w:sz w:val="19"/>
          <w:szCs w:val="19"/>
          <w:color w:val="auto"/>
        </w:rPr>
        <w:t>to or with you by any person or entity whatsoever to cause you to sign this letter agreement, and that you fully understand the meaning and intent of this letter agreement. You state and represent that you have had an opportunity to fully discuss and review the terms of this letter agreement with an attorney. You further state and represent that you have carefully read this letter agreement, understand the contents herein, freely and voluntarily assent to all of the terms and conditions hereof, and sign your name of your own free act. Further, you acknowledge that the restrictions referenced and contained in paragraphs 3 and 4 of this letter agreement are necessary for the protection of the business and goodwill of the Company and are considered by you to be reasonable for such purpose. You agree that any breach or threatened breach of such provisions is likely to cause the Company substantial and irrevocable damage which is difficult to measure. Therefore, in the event of any such breach or threatened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596265</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58" w:right="101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22"/>
          <w:szCs w:val="22"/>
          <w:color w:val="auto"/>
        </w:rPr>
        <w:t>-7-</w:t>
      </w:r>
    </w:p>
    <w:p>
      <w:pPr>
        <w:spacing w:after="0" w:line="382" w:lineRule="exact"/>
        <w:rPr>
          <w:sz w:val="20"/>
          <w:szCs w:val="20"/>
          <w:color w:val="auto"/>
        </w:rPr>
      </w:pPr>
    </w:p>
    <w:p>
      <w:pPr>
        <w:jc w:val="both"/>
        <w:ind w:right="220"/>
        <w:spacing w:after="0" w:line="238" w:lineRule="auto"/>
        <w:rPr>
          <w:sz w:val="20"/>
          <w:szCs w:val="20"/>
          <w:color w:val="auto"/>
        </w:rPr>
      </w:pPr>
      <w:r>
        <w:rPr>
          <w:rFonts w:ascii="Arial" w:cs="Arial" w:eastAsia="Arial" w:hAnsi="Arial"/>
          <w:sz w:val="22"/>
          <w:szCs w:val="22"/>
          <w:color w:val="auto"/>
        </w:rPr>
        <w:t>you agree that the Company, in addition to such other remedies which may be available, shall have the right to obtain an injunction from a court restraining such a breach or threatened breach without posting a bond and the right to specific performance of such provisions and you and hereby waive the adequacy of a remedy at law as a defense to such relief.</w:t>
      </w:r>
    </w:p>
    <w:p>
      <w:pPr>
        <w:spacing w:after="0" w:line="179" w:lineRule="exact"/>
        <w:rPr>
          <w:sz w:val="20"/>
          <w:szCs w:val="20"/>
          <w:color w:val="auto"/>
        </w:rPr>
      </w:pPr>
    </w:p>
    <w:p>
      <w:pPr>
        <w:ind w:right="220" w:firstLine="656"/>
        <w:spacing w:after="0" w:line="276" w:lineRule="auto"/>
        <w:tabs>
          <w:tab w:leader="none" w:pos="1296" w:val="left"/>
        </w:tabs>
        <w:numPr>
          <w:ilvl w:val="0"/>
          <w:numId w:val="133"/>
        </w:numPr>
        <w:rPr>
          <w:rFonts w:ascii="Arial" w:cs="Arial" w:eastAsia="Arial" w:hAnsi="Arial"/>
          <w:sz w:val="19"/>
          <w:szCs w:val="19"/>
          <w:color w:val="auto"/>
        </w:rPr>
      </w:pPr>
      <w:r>
        <w:rPr>
          <w:rFonts w:ascii="Arial" w:cs="Arial" w:eastAsia="Arial" w:hAnsi="Arial"/>
          <w:sz w:val="19"/>
          <w:szCs w:val="19"/>
          <w:b w:val="1"/>
          <w:bCs w:val="1"/>
          <w:u w:val="single" w:color="auto"/>
          <w:color w:val="auto"/>
        </w:rPr>
        <w:t>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 This letter agreement shall be interpreted and construed by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Commonwealth of Massachusetts, without regard to conflict of laws provisions. You hereby irrevocably submit to and acknowledge and recognize the jurisdiction of the courts of the Commonwealth of Massachusetts, or if appropriate, a federal court located in the Commonwealth of Massachusetts (which courts, for purposes of this letter agreement, are the only courts of competent jurisdiction), over any suit, action or other proceeding arising out of, under or in connection with this letter agreement or the subject matter hereof. You hereby irrevocably waive any right to a trial by jury in any action, suit or other legal proceeding arising under or relating to any provision of this letter agreement.</w:t>
      </w:r>
    </w:p>
    <w:p>
      <w:pPr>
        <w:spacing w:after="0" w:line="149" w:lineRule="exact"/>
        <w:rPr>
          <w:rFonts w:ascii="Arial" w:cs="Arial" w:eastAsia="Arial" w:hAnsi="Arial"/>
          <w:sz w:val="19"/>
          <w:szCs w:val="19"/>
          <w:color w:val="auto"/>
        </w:rPr>
      </w:pPr>
    </w:p>
    <w:p>
      <w:pPr>
        <w:ind w:right="140" w:firstLine="656"/>
        <w:spacing w:after="0" w:line="280" w:lineRule="auto"/>
        <w:tabs>
          <w:tab w:leader="none" w:pos="1296" w:val="left"/>
        </w:tabs>
        <w:numPr>
          <w:ilvl w:val="0"/>
          <w:numId w:val="133"/>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This letter agreement contains and constitutes the entire understanding and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between the parties hereto with respect to your severance benefits and the settlement of claims against the Company and cancels all previous oral and written negotiations, agreements, and commitments in connection therewith. Notwithstanding the foregoing, if there is a conflict between the non-competition obligations set forth in paragraph 3 herein and the noncompetition obligations set forth in Section 5(b)(i) of the Employment Agreement, such conflict will be resolved in the manner most protective of the Company.</w:t>
      </w:r>
    </w:p>
    <w:p>
      <w:pPr>
        <w:spacing w:after="0" w:line="144" w:lineRule="exact"/>
        <w:rPr>
          <w:rFonts w:ascii="Arial" w:cs="Arial" w:eastAsia="Arial" w:hAnsi="Arial"/>
          <w:sz w:val="19"/>
          <w:szCs w:val="19"/>
          <w:color w:val="auto"/>
        </w:rPr>
      </w:pPr>
    </w:p>
    <w:p>
      <w:pPr>
        <w:ind w:firstLine="656"/>
        <w:spacing w:after="0" w:line="237" w:lineRule="auto"/>
        <w:tabs>
          <w:tab w:leader="none" w:pos="1296" w:val="left"/>
        </w:tabs>
        <w:numPr>
          <w:ilvl w:val="0"/>
          <w:numId w:val="133"/>
        </w:numPr>
        <w:rPr>
          <w:rFonts w:ascii="Arial" w:cs="Arial" w:eastAsia="Arial" w:hAnsi="Arial"/>
          <w:sz w:val="22"/>
          <w:szCs w:val="22"/>
          <w:color w:val="auto"/>
        </w:rPr>
      </w:pPr>
      <w:r>
        <w:rPr>
          <w:rFonts w:ascii="Arial" w:cs="Arial" w:eastAsia="Arial" w:hAnsi="Arial"/>
          <w:sz w:val="22"/>
          <w:szCs w:val="22"/>
          <w:b w:val="1"/>
          <w:bCs w:val="1"/>
          <w:u w:val="single" w:color="auto"/>
          <w:color w:val="auto"/>
        </w:rPr>
        <w:t>Tax Acknowledgement</w:t>
      </w:r>
      <w:r>
        <w:rPr>
          <w:rFonts w:ascii="Arial" w:cs="Arial" w:eastAsia="Arial" w:hAnsi="Arial"/>
          <w:sz w:val="22"/>
          <w:szCs w:val="22"/>
          <w:b w:val="1"/>
          <w:bCs w:val="1"/>
          <w:color w:val="auto"/>
        </w:rPr>
        <w:t xml:space="preserve"> </w:t>
      </w:r>
      <w:r>
        <w:rPr>
          <w:rFonts w:ascii="Arial" w:cs="Arial" w:eastAsia="Arial" w:hAnsi="Arial"/>
          <w:sz w:val="22"/>
          <w:szCs w:val="22"/>
          <w:color w:val="auto"/>
        </w:rPr>
        <w:t>- In connection with the Severance Compensation, the Company shall</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 and remit to the tax authorities the amounts required under applicable law, and you shall be responsible for all applicable taxes with respect to such Severance Compensation under applicable law. You acknowledge that you are not relying upon the advice or representation of the Company with respect to the tax treatment of the Severance Compensation.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487045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21" w:name="page222"/>
    <w:bookmarkEnd w:id="221"/>
    <w:p>
      <w:pPr>
        <w:ind w:left="660"/>
        <w:spacing w:after="0"/>
        <w:rPr>
          <w:sz w:val="20"/>
          <w:szCs w:val="20"/>
          <w:color w:val="auto"/>
        </w:rPr>
      </w:pPr>
      <w:r>
        <w:rPr>
          <w:rFonts w:ascii="Arial" w:cs="Arial" w:eastAsia="Arial" w:hAnsi="Arial"/>
          <w:sz w:val="22"/>
          <w:szCs w:val="22"/>
          <w:color w:val="auto"/>
        </w:rPr>
        <w:t>If you have any questions about the matters covered in this letter agreement, please call me.</w:t>
      </w:r>
    </w:p>
    <w:p>
      <w:pPr>
        <w:spacing w:after="0" w:line="20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w:t>
      </w:r>
    </w:p>
    <w:p>
      <w:pPr>
        <w:ind w:left="4980"/>
        <w:spacing w:after="0" w:line="238" w:lineRule="auto"/>
        <w:rPr>
          <w:sz w:val="20"/>
          <w:szCs w:val="20"/>
          <w:color w:val="auto"/>
        </w:rPr>
      </w:pPr>
      <w:r>
        <w:rPr>
          <w:rFonts w:ascii="Arial" w:cs="Arial" w:eastAsia="Arial" w:hAnsi="Arial"/>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-151130</wp:posOffset>
            </wp:positionV>
            <wp:extent cx="28803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b w:val="1"/>
          <w:bCs w:val="1"/>
          <w:color w:val="auto"/>
        </w:rPr>
        <w:t>[Title]</w:t>
      </w:r>
    </w:p>
    <w:p>
      <w:pPr>
        <w:spacing w:after="0" w:line="18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I hereby agree to the terms and conditions set forth above. </w:t>
      </w:r>
      <w:r>
        <w:rPr>
          <w:rFonts w:ascii="Arial" w:cs="Arial" w:eastAsia="Arial" w:hAnsi="Arial"/>
          <w:sz w:val="22"/>
          <w:szCs w:val="22"/>
          <w:b w:val="1"/>
          <w:bCs w:val="1"/>
          <w:color w:val="auto"/>
        </w:rPr>
        <w:t>[I have been given at least [twenty-one (21) /</w:t>
      </w:r>
      <w:r>
        <w:rPr>
          <w:rFonts w:ascii="Arial" w:cs="Arial" w:eastAsia="Arial" w:hAnsi="Arial"/>
          <w:sz w:val="22"/>
          <w:szCs w:val="22"/>
          <w:color w:val="auto"/>
        </w:rPr>
        <w:t xml:space="preserve"> </w:t>
      </w:r>
      <w:r>
        <w:rPr>
          <w:rFonts w:ascii="Arial" w:cs="Arial" w:eastAsia="Arial" w:hAnsi="Arial"/>
          <w:sz w:val="22"/>
          <w:szCs w:val="22"/>
          <w:b w:val="1"/>
          <w:bCs w:val="1"/>
          <w:color w:val="auto"/>
        </w:rPr>
        <w:t>forty-five (45)] days to consider this letter agreement and I have chosen to execute this on the date below. I intend that this letter agreement will become a binding agreement between me and the Company if I do not revoke my acceptance in seven (7) days.]</w:t>
      </w:r>
    </w:p>
    <w:p>
      <w:pPr>
        <w:spacing w:after="0" w:line="200" w:lineRule="exact"/>
        <w:rPr>
          <w:sz w:val="20"/>
          <w:szCs w:val="20"/>
          <w:color w:val="auto"/>
        </w:rPr>
      </w:pPr>
    </w:p>
    <w:p>
      <w:pPr>
        <w:spacing w:after="0" w:line="264" w:lineRule="exact"/>
        <w:rPr>
          <w:sz w:val="20"/>
          <w:szCs w:val="20"/>
          <w:color w:val="auto"/>
        </w:rPr>
      </w:pPr>
    </w:p>
    <w:p>
      <w:pPr>
        <w:spacing w:after="0"/>
        <w:tabs>
          <w:tab w:leader="none" w:pos="5040" w:val="left"/>
        </w:tabs>
        <w:rPr>
          <w:sz w:val="20"/>
          <w:szCs w:val="20"/>
          <w:color w:val="auto"/>
        </w:rPr>
      </w:pPr>
      <w:r>
        <w:rPr>
          <w:rFonts w:ascii="Arial" w:cs="Arial" w:eastAsia="Arial" w:hAnsi="Arial"/>
          <w:sz w:val="22"/>
          <w:szCs w:val="22"/>
          <w:b w:val="1"/>
          <w:bCs w:val="1"/>
          <w:color w:val="auto"/>
        </w:rPr>
        <w:t>[Insert Name]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62922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To be returned in a timely manner as set forth on the first page of this letter agreement, but not to be signed before the close of business on your last day of employment.</w:t>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210185</wp:posOffset>
            </wp:positionV>
            <wp:extent cx="15684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16"/>
          <w:szCs w:val="16"/>
          <w:color w:val="auto"/>
        </w:rPr>
      </w:pPr>
      <w:r>
        <w:rPr>
          <w:rFonts w:ascii="Arial" w:cs="Arial" w:eastAsia="Arial" w:hAnsi="Arial"/>
          <w:sz w:val="22"/>
          <w:szCs w:val="22"/>
          <w:color w:val="auto"/>
        </w:rPr>
        <w:t>Note: All footnotes will be removed from the final execution version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487045</wp:posOffset>
            </wp:positionV>
            <wp:extent cx="629221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090" w:right="1059" w:bottom="1440" w:gutter="0" w:footer="0" w:header="0"/>
        </w:sectPr>
      </w:pPr>
    </w:p>
    <w:bookmarkStart w:id="222" w:name="page223"/>
    <w:bookmarkEnd w:id="222"/>
    <w:p>
      <w:pPr>
        <w:jc w:val="right"/>
        <w:spacing w:after="0"/>
        <w:rPr>
          <w:sz w:val="20"/>
          <w:szCs w:val="20"/>
          <w:color w:val="auto"/>
        </w:rPr>
      </w:pPr>
      <w:r>
        <w:rPr>
          <w:rFonts w:ascii="Arial" w:cs="Arial" w:eastAsia="Arial" w:hAnsi="Arial"/>
          <w:sz w:val="22"/>
          <w:szCs w:val="22"/>
          <w:b w:val="1"/>
          <w:bCs w:val="1"/>
          <w:color w:val="auto"/>
        </w:rPr>
        <w:t>Exhibit 10.36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w:t>
      </w:r>
    </w:p>
    <w:p>
      <w:pPr>
        <w:spacing w:after="0" w:line="239" w:lineRule="exact"/>
        <w:rPr>
          <w:sz w:val="20"/>
          <w:szCs w:val="20"/>
          <w:color w:val="auto"/>
        </w:rPr>
      </w:pPr>
    </w:p>
    <w:p>
      <w:pPr>
        <w:ind w:right="100" w:firstLine="648"/>
        <w:spacing w:after="0" w:line="274" w:lineRule="auto"/>
        <w:rPr>
          <w:sz w:val="20"/>
          <w:szCs w:val="20"/>
          <w:color w:val="auto"/>
        </w:rPr>
      </w:pPr>
      <w:r>
        <w:rPr>
          <w:rFonts w:ascii="Arial" w:cs="Arial" w:eastAsia="Arial" w:hAnsi="Arial"/>
          <w:sz w:val="21"/>
          <w:szCs w:val="21"/>
          <w:color w:val="auto"/>
        </w:rPr>
        <w:t>This Supplement (this “Supplement”) to License Agreement by and between Ocular Therapeutix, Inc. and Affamed Therapeutics Limited is made and entered into as of January 18, 2021.</w:t>
      </w:r>
    </w:p>
    <w:p>
      <w:pPr>
        <w:spacing w:after="0" w:line="178"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WHEREAS, Ocular Therapeutix, Inc. (“Ocular”) and Affamed Therapeutics Limited (“Affamed”) entered into a License Agreement dated as of October 28, 2020 (the “License Agreement”); and</w:t>
      </w:r>
    </w:p>
    <w:p>
      <w:pPr>
        <w:spacing w:after="0" w:line="202"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WHEREAS, Ocular and Affamed desire to supplement the License Agreement by adding a reference to two patents to Exhibit A to the License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agree as follows:</w:t>
      </w:r>
    </w:p>
    <w:p>
      <w:pPr>
        <w:spacing w:after="0" w:line="233" w:lineRule="exact"/>
        <w:rPr>
          <w:sz w:val="20"/>
          <w:szCs w:val="20"/>
          <w:color w:val="auto"/>
        </w:rPr>
      </w:pPr>
    </w:p>
    <w:p>
      <w:pPr>
        <w:ind w:right="140" w:firstLine="656"/>
        <w:spacing w:after="0" w:line="250" w:lineRule="auto"/>
        <w:tabs>
          <w:tab w:leader="none" w:pos="1296"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All terms used in this Supplement and not defined shall have the meanings ascribed to them in the License Agreement.</w:t>
      </w:r>
    </w:p>
    <w:p>
      <w:pPr>
        <w:spacing w:after="0" w:line="201" w:lineRule="exact"/>
        <w:rPr>
          <w:rFonts w:ascii="Arial" w:cs="Arial" w:eastAsia="Arial" w:hAnsi="Arial"/>
          <w:sz w:val="22"/>
          <w:szCs w:val="22"/>
          <w:color w:val="auto"/>
        </w:rPr>
      </w:pPr>
    </w:p>
    <w:p>
      <w:pPr>
        <w:ind w:left="1300" w:hanging="698"/>
        <w:spacing w:after="0"/>
        <w:tabs>
          <w:tab w:leader="none" w:pos="130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Exhibit A is supplemented by adding the following:</w:t>
      </w:r>
    </w:p>
    <w:p>
      <w:pPr>
        <w:spacing w:after="0" w:line="233" w:lineRule="exact"/>
        <w:rPr>
          <w:rFonts w:ascii="Arial" w:cs="Arial" w:eastAsia="Arial" w:hAnsi="Arial"/>
          <w:sz w:val="22"/>
          <w:szCs w:val="22"/>
          <w:color w:val="auto"/>
        </w:rPr>
      </w:pPr>
    </w:p>
    <w:p>
      <w:pPr>
        <w:ind w:left="1960" w:hanging="656"/>
        <w:spacing w:after="0"/>
        <w:tabs>
          <w:tab w:leader="none" w:pos="1960" w:val="left"/>
        </w:tabs>
        <w:numPr>
          <w:ilvl w:val="2"/>
          <w:numId w:val="136"/>
        </w:numPr>
        <w:rPr>
          <w:rFonts w:ascii="Arial" w:cs="Arial" w:eastAsia="Arial" w:hAnsi="Arial"/>
          <w:sz w:val="22"/>
          <w:szCs w:val="22"/>
          <w:color w:val="auto"/>
        </w:rPr>
      </w:pPr>
      <w:r>
        <w:rPr>
          <w:rFonts w:ascii="Arial" w:cs="Arial" w:eastAsia="Arial" w:hAnsi="Arial"/>
          <w:sz w:val="22"/>
          <w:szCs w:val="22"/>
          <w:color w:val="auto"/>
        </w:rPr>
        <w:t>KR20190057353A</w:t>
      </w:r>
    </w:p>
    <w:p>
      <w:pPr>
        <w:spacing w:after="0" w:line="8" w:lineRule="exact"/>
        <w:rPr>
          <w:rFonts w:ascii="Arial" w:cs="Arial" w:eastAsia="Arial" w:hAnsi="Arial"/>
          <w:sz w:val="22"/>
          <w:szCs w:val="22"/>
          <w:color w:val="auto"/>
        </w:rPr>
      </w:pPr>
    </w:p>
    <w:p>
      <w:pPr>
        <w:ind w:left="1960" w:hanging="656"/>
        <w:spacing w:after="0"/>
        <w:tabs>
          <w:tab w:leader="none" w:pos="1960" w:val="left"/>
        </w:tabs>
        <w:numPr>
          <w:ilvl w:val="2"/>
          <w:numId w:val="136"/>
        </w:numPr>
        <w:rPr>
          <w:rFonts w:ascii="Arial" w:cs="Arial" w:eastAsia="Arial" w:hAnsi="Arial"/>
          <w:sz w:val="22"/>
          <w:szCs w:val="22"/>
          <w:color w:val="auto"/>
        </w:rPr>
      </w:pPr>
      <w:r>
        <w:rPr>
          <w:rFonts w:ascii="Arial" w:cs="Arial" w:eastAsia="Arial" w:hAnsi="Arial"/>
          <w:sz w:val="22"/>
          <w:szCs w:val="22"/>
          <w:color w:val="auto"/>
        </w:rPr>
        <w:t>CN102395401B</w:t>
      </w:r>
    </w:p>
    <w:p>
      <w:pPr>
        <w:spacing w:after="0" w:line="215" w:lineRule="exact"/>
        <w:rPr>
          <w:rFonts w:ascii="Arial" w:cs="Arial" w:eastAsia="Arial" w:hAnsi="Arial"/>
          <w:sz w:val="22"/>
          <w:szCs w:val="22"/>
          <w:color w:val="auto"/>
        </w:rPr>
      </w:pPr>
    </w:p>
    <w:p>
      <w:pPr>
        <w:ind w:right="240" w:firstLine="602"/>
        <w:spacing w:after="0" w:line="250" w:lineRule="auto"/>
        <w:tabs>
          <w:tab w:leader="none" w:pos="129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Except as supplemented hereby, each of the terms and provisions of the License Agreement shall remain in full force and effect.</w:t>
      </w:r>
    </w:p>
    <w:p>
      <w:pPr>
        <w:spacing w:after="0" w:line="201" w:lineRule="exact"/>
        <w:rPr>
          <w:rFonts w:ascii="Arial" w:cs="Arial" w:eastAsia="Arial" w:hAnsi="Arial"/>
          <w:sz w:val="22"/>
          <w:szCs w:val="22"/>
          <w:color w:val="auto"/>
        </w:rPr>
      </w:pPr>
    </w:p>
    <w:p>
      <w:pPr>
        <w:ind w:right="100" w:firstLine="602"/>
        <w:spacing w:after="0" w:line="250" w:lineRule="auto"/>
        <w:tabs>
          <w:tab w:leader="none" w:pos="129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This Supplement may be executed in counterparts, all of which taken together shall be regarded as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638810</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3" w:name="page224"/>
    <w:bookmarkEnd w:id="223"/>
    <w:p>
      <w:pPr>
        <w:ind w:right="379" w:firstLine="596"/>
        <w:spacing w:after="0" w:line="250" w:lineRule="auto"/>
        <w:rPr>
          <w:sz w:val="20"/>
          <w:szCs w:val="20"/>
          <w:color w:val="auto"/>
        </w:rPr>
      </w:pPr>
      <w:r>
        <w:rPr>
          <w:rFonts w:ascii="Arial" w:cs="Arial" w:eastAsia="Arial" w:hAnsi="Arial"/>
          <w:sz w:val="22"/>
          <w:szCs w:val="22"/>
          <w:color w:val="auto"/>
        </w:rPr>
        <w:t>IN WITNESS WHEROF, the Parties have executed this Supplement through their duly authorized representatives to be effective as of the Effective Date.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OCULAR THERAPEUTIX, INC.</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By:</w:t>
        <w:tab/>
        <w:t>/s/ Antony Mattessich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6985</wp:posOffset>
            </wp:positionV>
            <wp:extent cx="28886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0">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Name:Antony Mattessich</w:t>
      </w:r>
    </w:p>
    <w:p>
      <w:pPr>
        <w:spacing w:after="0"/>
        <w:rPr>
          <w:sz w:val="20"/>
          <w:szCs w:val="20"/>
          <w:color w:val="auto"/>
        </w:rPr>
      </w:pPr>
      <w:r>
        <w:rPr>
          <w:rFonts w:ascii="Arial" w:cs="Arial" w:eastAsia="Arial" w:hAnsi="Arial"/>
          <w:sz w:val="22"/>
          <w:szCs w:val="22"/>
          <w:color w:val="auto"/>
        </w:rPr>
        <w:t>Title: President and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AFFAMED THERAPEUTICS LIMITED</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By:</w:t>
        <w:tab/>
        <w:t>/s/ Dayao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6985</wp:posOffset>
            </wp:positionV>
            <wp:extent cx="28886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Name:Dayao Zhao</w:t>
      </w:r>
    </w:p>
    <w:p>
      <w:pPr>
        <w:spacing w:after="0"/>
        <w:rPr>
          <w:sz w:val="20"/>
          <w:szCs w:val="20"/>
          <w:color w:val="auto"/>
        </w:rPr>
      </w:pPr>
      <w:r>
        <w:rPr>
          <w:rFonts w:ascii="Arial" w:cs="Arial" w:eastAsia="Arial" w:hAnsi="Arial"/>
          <w:sz w:val="22"/>
          <w:szCs w:val="22"/>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61" w:right="1440"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7020" w:type="dxa"/>
            <w:vAlign w:val="bottom"/>
            <w:gridSpan w:val="3"/>
          </w:tcPr>
          <w:p>
            <w:pPr>
              <w:ind w:left="520"/>
              <w:spacing w:after="0"/>
              <w:rPr>
                <w:sz w:val="20"/>
                <w:szCs w:val="20"/>
                <w:color w:val="auto"/>
              </w:rPr>
            </w:pPr>
            <w:r>
              <w:rPr>
                <w:rFonts w:ascii="Arial" w:cs="Arial" w:eastAsia="Arial" w:hAnsi="Arial"/>
                <w:sz w:val="18"/>
                <w:szCs w:val="18"/>
                <w:b w:val="1"/>
                <w:bCs w:val="1"/>
                <w:color w:val="auto"/>
              </w:rPr>
              <w:t>Subsidiaries of Ocular Therapeutix, Inc.</w:t>
            </w:r>
          </w:p>
        </w:tc>
        <w:tc>
          <w:tcPr>
            <w:tcW w:w="0" w:type="dxa"/>
            <w:vAlign w:val="bottom"/>
          </w:tcPr>
          <w:p>
            <w:pPr>
              <w:spacing w:after="0"/>
              <w:rPr>
                <w:sz w:val="1"/>
                <w:szCs w:val="1"/>
                <w:color w:val="auto"/>
              </w:rPr>
            </w:pPr>
          </w:p>
        </w:tc>
      </w:tr>
      <w:tr>
        <w:trPr>
          <w:trHeight w:val="432"/>
        </w:trPr>
        <w:tc>
          <w:tcPr>
            <w:tcW w:w="2900" w:type="dxa"/>
            <w:vAlign w:val="bottom"/>
            <w:vMerge w:val="restart"/>
          </w:tcPr>
          <w:p>
            <w:pPr>
              <w:ind w:left="40"/>
              <w:spacing w:after="0"/>
              <w:rPr>
                <w:sz w:val="20"/>
                <w:szCs w:val="20"/>
                <w:color w:val="auto"/>
              </w:rPr>
            </w:pPr>
            <w:r>
              <w:rPr>
                <w:rFonts w:ascii="Arial" w:cs="Arial" w:eastAsia="Arial" w:hAnsi="Arial"/>
                <w:sz w:val="18"/>
                <w:szCs w:val="18"/>
                <w:color w:val="auto"/>
              </w:rPr>
              <w:t>Ocular Therapeutix Europe B.V.</w:t>
            </w:r>
          </w:p>
        </w:tc>
        <w:tc>
          <w:tcPr>
            <w:tcW w:w="21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Jurisdiction of Incorporation or Organization</w:t>
            </w:r>
          </w:p>
        </w:tc>
        <w:tc>
          <w:tcPr>
            <w:tcW w:w="0" w:type="dxa"/>
            <w:vAlign w:val="bottom"/>
          </w:tcPr>
          <w:p>
            <w:pPr>
              <w:spacing w:after="0"/>
              <w:rPr>
                <w:sz w:val="1"/>
                <w:szCs w:val="1"/>
                <w:color w:val="auto"/>
              </w:rPr>
            </w:pPr>
          </w:p>
        </w:tc>
      </w:tr>
      <w:tr>
        <w:trPr>
          <w:trHeight w:val="224"/>
        </w:trPr>
        <w:tc>
          <w:tcPr>
            <w:tcW w:w="290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2"/>
        </w:trPr>
        <w:tc>
          <w:tcPr>
            <w:tcW w:w="29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225" w:name="page226"/>
    <w:bookmarkEnd w:id="225"/>
    <w:p>
      <w:pPr>
        <w:jc w:val="right"/>
        <w:ind w:right="219"/>
        <w:spacing w:after="0"/>
        <w:rPr>
          <w:sz w:val="20"/>
          <w:szCs w:val="20"/>
          <w:color w:val="auto"/>
        </w:rPr>
      </w:pPr>
      <w:r>
        <w:rPr>
          <w:rFonts w:ascii="Arial" w:cs="Arial" w:eastAsia="Arial" w:hAnsi="Arial"/>
          <w:sz w:val="18"/>
          <w:szCs w:val="18"/>
          <w:color w:val="auto"/>
        </w:rPr>
        <w:t>Exhibit 23.1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ind w:left="200" w:right="379"/>
        <w:spacing w:after="0" w:line="243"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333-229085 333-230659 and 333-251327) and Form S-8 (Nos. 333-198240, 333-202886, 333-210059, 333-216622, 333-223513, 333-230126 and 333-237115) of Ocular Therapeutix, Inc. of our report dated March 11, 2021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/s/PricewaterhouseCoopers LLP</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ind w:left="200"/>
        <w:spacing w:after="0"/>
        <w:rPr>
          <w:sz w:val="20"/>
          <w:szCs w:val="20"/>
          <w:color w:val="auto"/>
        </w:rPr>
      </w:pPr>
      <w:r>
        <w:rPr>
          <w:rFonts w:ascii="Arial" w:cs="Arial" w:eastAsia="Arial" w:hAnsi="Arial"/>
          <w:sz w:val="18"/>
          <w:szCs w:val="18"/>
          <w:color w:val="auto"/>
        </w:rPr>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26" w:name="page227"/>
    <w:bookmarkEnd w:id="22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Antony Mattessich, certify that:</w:t>
      </w:r>
    </w:p>
    <w:p>
      <w:pPr>
        <w:spacing w:after="0" w:line="225" w:lineRule="exact"/>
        <w:rPr>
          <w:sz w:val="20"/>
          <w:szCs w:val="20"/>
          <w:color w:val="auto"/>
        </w:rPr>
      </w:pPr>
    </w:p>
    <w:p>
      <w:pPr>
        <w:ind w:left="680" w:hanging="189"/>
        <w:spacing w:after="0"/>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Ocular Therapeutix, Inc.;</w:t>
      </w:r>
    </w:p>
    <w:p>
      <w:pPr>
        <w:spacing w:after="0" w:line="225" w:lineRule="exact"/>
        <w:rPr>
          <w:rFonts w:ascii="Arial" w:cs="Arial" w:eastAsia="Arial" w:hAnsi="Arial"/>
          <w:sz w:val="18"/>
          <w:szCs w:val="18"/>
          <w:color w:val="auto"/>
        </w:rPr>
      </w:pPr>
    </w:p>
    <w:p>
      <w:pPr>
        <w:ind w:left="60" w:right="79" w:firstLine="431"/>
        <w:spacing w:after="0" w:line="263" w:lineRule="auto"/>
        <w:tabs>
          <w:tab w:leader="none" w:pos="68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0" w:right="239" w:firstLine="431"/>
        <w:spacing w:after="0" w:line="263" w:lineRule="auto"/>
        <w:tabs>
          <w:tab w:leader="none" w:pos="68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0" w:right="239" w:firstLine="431"/>
        <w:spacing w:after="0" w:line="286" w:lineRule="auto"/>
        <w:tabs>
          <w:tab w:leader="none" w:pos="68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500" w:right="79" w:firstLine="431"/>
        <w:spacing w:after="0" w:line="259" w:lineRule="auto"/>
        <w:tabs>
          <w:tab w:leader="none" w:pos="112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500" w:right="179" w:firstLine="432"/>
        <w:spacing w:after="0" w:line="259" w:lineRule="auto"/>
        <w:tabs>
          <w:tab w:leader="none" w:pos="113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500" w:right="99" w:firstLine="431"/>
        <w:spacing w:after="0" w:line="263" w:lineRule="auto"/>
        <w:tabs>
          <w:tab w:leader="none" w:pos="112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500" w:right="139" w:firstLine="431"/>
        <w:spacing w:after="0" w:line="259" w:lineRule="auto"/>
        <w:tabs>
          <w:tab w:leader="none" w:pos="113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0" w:right="99" w:firstLine="431"/>
        <w:spacing w:after="0" w:line="263" w:lineRule="auto"/>
        <w:tabs>
          <w:tab w:leader="none" w:pos="68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500" w:right="539" w:firstLine="431"/>
        <w:spacing w:after="0" w:line="263" w:lineRule="auto"/>
        <w:tabs>
          <w:tab w:leader="none" w:pos="112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500" w:right="319" w:firstLine="431"/>
        <w:spacing w:after="0" w:line="277" w:lineRule="auto"/>
        <w:tabs>
          <w:tab w:leader="none" w:pos="113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Date: March 11, 2021</w:t>
            </w:r>
          </w:p>
        </w:tc>
        <w:tc>
          <w:tcPr>
            <w:tcW w:w="5660" w:type="dxa"/>
            <w:vAlign w:val="bottom"/>
            <w:gridSpan w:val="2"/>
          </w:tcPr>
          <w:p>
            <w:pPr>
              <w:ind w:left="1700"/>
              <w:spacing w:after="0"/>
              <w:rPr>
                <w:sz w:val="20"/>
                <w:szCs w:val="20"/>
                <w:color w:val="auto"/>
              </w:rPr>
            </w:pPr>
            <w:r>
              <w:rPr>
                <w:rFonts w:ascii="Arial" w:cs="Arial" w:eastAsia="Arial" w:hAnsi="Arial"/>
                <w:sz w:val="18"/>
                <w:szCs w:val="18"/>
                <w:color w:val="auto"/>
              </w:rPr>
              <w:t>By: /s/ Antony Mattessich</w:t>
            </w:r>
          </w:p>
        </w:tc>
      </w:tr>
      <w:tr>
        <w:trPr>
          <w:trHeight w:val="195"/>
        </w:trPr>
        <w:tc>
          <w:tcPr>
            <w:tcW w:w="3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Antony Mattessich</w:t>
            </w:r>
          </w:p>
        </w:tc>
      </w:tr>
      <w:tr>
        <w:trPr>
          <w:trHeight w:val="216"/>
        </w:trPr>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04"/>
        </w:trPr>
        <w:tc>
          <w:tcPr>
            <w:tcW w:w="3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5" w:right="1440" w:bottom="1440" w:gutter="0" w:footer="0" w:header="0"/>
        </w:sectPr>
      </w:pPr>
    </w:p>
    <w:bookmarkStart w:id="227" w:name="page228"/>
    <w:bookmarkEnd w:id="22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Donald Notman, certify that:</w:t>
      </w:r>
    </w:p>
    <w:p>
      <w:pPr>
        <w:spacing w:after="0" w:line="225" w:lineRule="exact"/>
        <w:rPr>
          <w:sz w:val="20"/>
          <w:szCs w:val="20"/>
          <w:color w:val="auto"/>
        </w:rPr>
      </w:pPr>
    </w:p>
    <w:p>
      <w:pPr>
        <w:ind w:left="660" w:hanging="175"/>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Ocular Therapeutix, Inc.;</w:t>
      </w:r>
    </w:p>
    <w:p>
      <w:pPr>
        <w:spacing w:after="0" w:line="225" w:lineRule="exact"/>
        <w:rPr>
          <w:rFonts w:ascii="Arial" w:cs="Arial" w:eastAsia="Arial" w:hAnsi="Arial"/>
          <w:sz w:val="18"/>
          <w:szCs w:val="18"/>
          <w:color w:val="auto"/>
        </w:rPr>
      </w:pPr>
    </w:p>
    <w:p>
      <w:pPr>
        <w:ind w:left="40" w:right="79" w:firstLine="445"/>
        <w:spacing w:after="0" w:line="263" w:lineRule="auto"/>
        <w:tabs>
          <w:tab w:leader="none" w:pos="66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0" w:right="239" w:firstLine="445"/>
        <w:spacing w:after="0" w:line="263" w:lineRule="auto"/>
        <w:tabs>
          <w:tab w:leader="none" w:pos="66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40" w:right="239" w:firstLine="445"/>
        <w:spacing w:after="0" w:line="286" w:lineRule="auto"/>
        <w:tabs>
          <w:tab w:leader="none" w:pos="66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480" w:right="79" w:firstLine="445"/>
        <w:spacing w:after="0" w:line="259" w:lineRule="auto"/>
        <w:tabs>
          <w:tab w:leader="none" w:pos="110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480" w:right="179" w:firstLine="445"/>
        <w:spacing w:after="0" w:line="259" w:lineRule="auto"/>
        <w:tabs>
          <w:tab w:leader="none" w:pos="111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480" w:right="99" w:firstLine="445"/>
        <w:spacing w:after="0" w:line="263" w:lineRule="auto"/>
        <w:tabs>
          <w:tab w:leader="none" w:pos="110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480" w:right="139" w:firstLine="445"/>
        <w:spacing w:after="0" w:line="259" w:lineRule="auto"/>
        <w:tabs>
          <w:tab w:leader="none" w:pos="111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40" w:right="99" w:firstLine="445"/>
        <w:spacing w:after="0" w:line="263" w:lineRule="auto"/>
        <w:tabs>
          <w:tab w:leader="none" w:pos="66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480" w:right="559" w:firstLine="445"/>
        <w:spacing w:after="0" w:line="263" w:lineRule="auto"/>
        <w:tabs>
          <w:tab w:leader="none" w:pos="110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480" w:right="319" w:firstLine="445"/>
        <w:spacing w:after="0" w:line="277" w:lineRule="auto"/>
        <w:tabs>
          <w:tab w:leader="none" w:pos="111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Date: March 11, 2021</w:t>
            </w:r>
          </w:p>
        </w:tc>
        <w:tc>
          <w:tcPr>
            <w:tcW w:w="5840" w:type="dxa"/>
            <w:vAlign w:val="bottom"/>
            <w:gridSpan w:val="2"/>
          </w:tcPr>
          <w:p>
            <w:pPr>
              <w:ind w:left="1520"/>
              <w:spacing w:after="0"/>
              <w:rPr>
                <w:sz w:val="20"/>
                <w:szCs w:val="20"/>
                <w:color w:val="auto"/>
              </w:rPr>
            </w:pPr>
            <w:r>
              <w:rPr>
                <w:rFonts w:ascii="Arial" w:cs="Arial" w:eastAsia="Arial" w:hAnsi="Arial"/>
                <w:sz w:val="18"/>
                <w:szCs w:val="18"/>
                <w:color w:val="auto"/>
              </w:rPr>
              <w:t>By:  /s/ Donald Notman</w:t>
            </w:r>
          </w:p>
        </w:tc>
      </w:tr>
      <w:tr>
        <w:trPr>
          <w:trHeight w:val="195"/>
        </w:trPr>
        <w:tc>
          <w:tcPr>
            <w:tcW w:w="30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Donald Notman</w:t>
            </w:r>
          </w:p>
        </w:tc>
      </w:tr>
      <w:tr>
        <w:trPr>
          <w:trHeight w:val="216"/>
        </w:trPr>
        <w:tc>
          <w:tcPr>
            <w:tcW w:w="3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04"/>
        </w:trPr>
        <w:tc>
          <w:tcPr>
            <w:tcW w:w="30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5" w:right="1440" w:bottom="1440" w:gutter="0" w:footer="0" w:header="0"/>
        </w:sectPr>
      </w:pPr>
    </w:p>
    <w:bookmarkStart w:id="228" w:name="page229"/>
    <w:bookmarkEnd w:id="22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ind w:left="40" w:right="299" w:firstLine="441"/>
        <w:spacing w:after="0" w:line="259" w:lineRule="auto"/>
        <w:rPr>
          <w:sz w:val="20"/>
          <w:szCs w:val="20"/>
          <w:color w:val="auto"/>
        </w:rPr>
      </w:pPr>
      <w:r>
        <w:rPr>
          <w:rFonts w:ascii="Arial" w:cs="Arial" w:eastAsia="Arial" w:hAnsi="Arial"/>
          <w:sz w:val="18"/>
          <w:szCs w:val="18"/>
          <w:color w:val="auto"/>
        </w:rPr>
        <w:t>In connection with the Annual Report on Form 10-K of Ocular Therapeutix, Inc. (the “Company”) for the period ended December 31, 2020 as filed with the Securities and Exchange Commission on the date hereof (the “Report”), the undersigned, Antony Mattessich, President and Chief Executive Officer of the Company, hereby certifies, pursuant to 18 U.S.C. Section 1350, that to his knowledge: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40" w:right="119" w:firstLine="445"/>
        <w:spacing w:after="0" w:line="277" w:lineRule="auto"/>
        <w:tabs>
          <w:tab w:leader="none" w:pos="7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March 11, 2021</w:t>
            </w:r>
          </w:p>
        </w:tc>
        <w:tc>
          <w:tcPr>
            <w:tcW w:w="5800" w:type="dxa"/>
            <w:vAlign w:val="bottom"/>
            <w:gridSpan w:val="2"/>
          </w:tcPr>
          <w:p>
            <w:pPr>
              <w:ind w:left="1560"/>
              <w:spacing w:after="0"/>
              <w:rPr>
                <w:sz w:val="20"/>
                <w:szCs w:val="20"/>
                <w:color w:val="auto"/>
              </w:rPr>
            </w:pPr>
            <w:r>
              <w:rPr>
                <w:rFonts w:ascii="Arial" w:cs="Arial" w:eastAsia="Arial" w:hAnsi="Arial"/>
                <w:sz w:val="18"/>
                <w:szCs w:val="18"/>
                <w:color w:val="auto"/>
              </w:rPr>
              <w:t>By:/s/ Antony Mattessich</w:t>
            </w:r>
          </w:p>
        </w:tc>
      </w:tr>
      <w:tr>
        <w:trPr>
          <w:trHeight w:val="195"/>
        </w:trPr>
        <w:tc>
          <w:tcPr>
            <w:tcW w:w="3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9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Antony Mattessich</w:t>
            </w:r>
          </w:p>
        </w:tc>
      </w:tr>
      <w:tr>
        <w:trPr>
          <w:trHeight w:val="216"/>
        </w:trPr>
        <w:tc>
          <w:tcPr>
            <w:tcW w:w="3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803"/>
        </w:trPr>
        <w:tc>
          <w:tcPr>
            <w:tcW w:w="3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5" w:right="1440" w:bottom="1440" w:gutter="0" w:footer="0" w:header="0"/>
        </w:sectPr>
      </w:pPr>
    </w:p>
    <w:bookmarkStart w:id="229" w:name="page230"/>
    <w:bookmarkEnd w:id="229"/>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jc w:val="both"/>
        <w:ind w:left="40" w:right="399" w:firstLine="441"/>
        <w:spacing w:after="0" w:line="259" w:lineRule="auto"/>
        <w:rPr>
          <w:sz w:val="20"/>
          <w:szCs w:val="20"/>
          <w:color w:val="auto"/>
        </w:rPr>
      </w:pPr>
      <w:r>
        <w:rPr>
          <w:rFonts w:ascii="Arial" w:cs="Arial" w:eastAsia="Arial" w:hAnsi="Arial"/>
          <w:sz w:val="18"/>
          <w:szCs w:val="18"/>
          <w:color w:val="auto"/>
        </w:rPr>
        <w:t>In connection with the Annual Report on Form 10-K of Ocular Therapeutix, Inc. (the “Company”) for the period ended December 31, 2020 as filed with the Securities and Exchange Commission on the date hereof (the “Report”), the undersigned, Donald Notman, Chief Financial Officer of the Company, hereby certifies, pursuant to 18 U.S.C. Section 1350, that to his knowledge: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40" w:right="119" w:firstLine="445"/>
        <w:spacing w:after="0" w:line="277" w:lineRule="auto"/>
        <w:tabs>
          <w:tab w:leader="none" w:pos="73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Date: March 11, 2021</w:t>
            </w:r>
          </w:p>
        </w:tc>
        <w:tc>
          <w:tcPr>
            <w:tcW w:w="5820" w:type="dxa"/>
            <w:vAlign w:val="bottom"/>
            <w:gridSpan w:val="2"/>
          </w:tcPr>
          <w:p>
            <w:pPr>
              <w:ind w:left="1500"/>
              <w:spacing w:after="0"/>
              <w:rPr>
                <w:sz w:val="20"/>
                <w:szCs w:val="20"/>
                <w:color w:val="auto"/>
              </w:rPr>
            </w:pPr>
            <w:r>
              <w:rPr>
                <w:rFonts w:ascii="Arial" w:cs="Arial" w:eastAsia="Arial" w:hAnsi="Arial"/>
                <w:sz w:val="18"/>
                <w:szCs w:val="18"/>
                <w:color w:val="auto"/>
              </w:rPr>
              <w:t>By:/s/ Donald Notman</w:t>
            </w:r>
          </w:p>
        </w:tc>
      </w:tr>
      <w:tr>
        <w:trPr>
          <w:trHeight w:val="195"/>
        </w:trPr>
        <w:tc>
          <w:tcPr>
            <w:tcW w:w="3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Donald Notman</w:t>
            </w:r>
          </w:p>
        </w:tc>
      </w:tr>
      <w:tr>
        <w:trPr>
          <w:trHeight w:val="216"/>
        </w:trPr>
        <w:tc>
          <w:tcPr>
            <w:tcW w:w="3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03"/>
        </w:trPr>
        <w:tc>
          <w:tcPr>
            <w:tcW w:w="3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1)"/>
      <w:numFmt w:val="lowerRoman"/>
      <w:start w:val="1"/>
    </w:lvl>
  </w:abstractNum>
  <w:abstractNum w:abstractNumId="18">
    <w:nsid w:val="3B0FD379"/>
    <w:multiLevelType w:val="hybridMultilevel"/>
    <w:lvl w:ilvl="0">
      <w:lvlJc w:val="left"/>
      <w:lvlText w:val="(%1)"/>
      <w:numFmt w:val="lowerRoman"/>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1."/>
      <w:numFmt w:val="decimal"/>
      <w:start w:val="8"/>
    </w:lvl>
  </w:abstractNum>
  <w:abstractNum w:abstractNumId="45">
    <w:nsid w:val="CC1016F"/>
    <w:multiLevelType w:val="hybridMultilevel"/>
    <w:lvl w:ilvl="0">
      <w:lvlJc w:val="left"/>
      <w:lvlText w:val="%1."/>
      <w:numFmt w:val="decimal"/>
      <w:start w:val="14"/>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
      <w:numFmt w:val="bullet"/>
      <w:start w:val="1"/>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
      <w:numFmt w:val="bullet"/>
      <w:start w:val="1"/>
    </w:lvl>
  </w:abstractNum>
  <w:abstractNum w:abstractNumId="59">
    <w:nsid w:val="6A5F7029"/>
    <w:multiLevelType w:val="hybridMultilevel"/>
    <w:lvl w:ilvl="0">
      <w:lvlJc w:val="left"/>
      <w:lvlText w:val="●"/>
      <w:numFmt w:val="bullet"/>
      <w:start w:val="1"/>
    </w:lvl>
  </w:abstractNum>
  <w:abstractNum w:abstractNumId="60">
    <w:nsid w:val="7D5E18F8"/>
    <w:multiLevelType w:val="hybridMultilevel"/>
    <w:lvl w:ilvl="0">
      <w:lvlJc w:val="left"/>
      <w:lvlText w:val="●"/>
      <w:numFmt w:val="bullet"/>
      <w:start w:val="1"/>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
      <w:numFmt w:val="bullet"/>
      <w:start w:val="1"/>
    </w:lvl>
  </w:abstractNum>
  <w:abstractNum w:abstractNumId="65">
    <w:nsid w:val="3FA62ACA"/>
    <w:multiLevelType w:val="hybridMultilevel"/>
    <w:lvl w:ilvl="0">
      <w:lvlJc w:val="left"/>
      <w:lvlText w:val="●"/>
      <w:numFmt w:val="bullet"/>
      <w:start w:val="1"/>
    </w:lvl>
  </w:abstractNum>
  <w:abstractNum w:abstractNumId="66">
    <w:nsid w:val="14FCE74E"/>
    <w:multiLevelType w:val="hybridMultilevel"/>
    <w:lvl w:ilvl="0">
      <w:lvlJc w:val="left"/>
      <w:lvlText w:val="●"/>
      <w:numFmt w:val="bullet"/>
      <w:start w:val="1"/>
    </w:lvl>
  </w:abstractNum>
  <w:abstractNum w:abstractNumId="67">
    <w:nsid w:val="6A3DD3E8"/>
    <w:multiLevelType w:val="hybridMultilevel"/>
    <w:lvl w:ilvl="0">
      <w:lvlJc w:val="left"/>
      <w:lvlText w:val="●"/>
      <w:numFmt w:val="bullet"/>
      <w:start w:val="1"/>
    </w:lvl>
  </w:abstractNum>
  <w:abstractNum w:abstractNumId="68">
    <w:nsid w:val="71C91298"/>
    <w:multiLevelType w:val="hybridMultilevel"/>
    <w:lvl w:ilvl="0">
      <w:lvlJc w:val="left"/>
      <w:lvlText w:val="●"/>
      <w:numFmt w:val="bullet"/>
      <w:start w:val="1"/>
    </w:lvl>
  </w:abstractNum>
  <w:abstractNum w:abstractNumId="69">
    <w:nsid w:val="9DAF632"/>
    <w:multiLevelType w:val="hybridMultilevel"/>
    <w:lvl w:ilvl="0">
      <w:lvlJc w:val="left"/>
      <w:lvlText w:val="●"/>
      <w:numFmt w:val="bullet"/>
      <w:start w:val="1"/>
    </w:lvl>
  </w:abstractNum>
  <w:abstractNum w:abstractNumId="70">
    <w:nsid w:val="53299938"/>
    <w:multiLevelType w:val="hybridMultilevel"/>
    <w:lvl w:ilvl="0">
      <w:lvlJc w:val="left"/>
      <w:lvlText w:val="●"/>
      <w:numFmt w:val="bullet"/>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
      <w:numFmt w:val="bullet"/>
      <w:start w:val="1"/>
    </w:lvl>
  </w:abstractNum>
  <w:abstractNum w:abstractNumId="73">
    <w:nsid w:val="1D545C4D"/>
    <w:multiLevelType w:val="hybridMultilevel"/>
    <w:lvl w:ilvl="0">
      <w:lvlJc w:val="left"/>
      <w:lvlText w:val="●"/>
      <w:numFmt w:val="bullet"/>
      <w:start w:val="1"/>
    </w:lvl>
  </w:abstractNum>
  <w:abstractNum w:abstractNumId="74">
    <w:nsid w:val="59ADEA3D"/>
    <w:multiLevelType w:val="hybridMultilevel"/>
    <w:lvl w:ilvl="0">
      <w:lvlJc w:val="left"/>
      <w:lvlText w:val="●"/>
      <w:numFmt w:val="bullet"/>
      <w:start w:val="1"/>
    </w:lvl>
  </w:abstractNum>
  <w:abstractNum w:abstractNumId="75">
    <w:nsid w:val="288F1A34"/>
    <w:multiLevelType w:val="hybridMultilevel"/>
    <w:lvl w:ilvl="0">
      <w:lvlJc w:val="left"/>
      <w:lvlText w:val="†"/>
      <w:numFmt w:val="bullet"/>
      <w:start w:val="1"/>
    </w:lvl>
  </w:abstractNum>
  <w:abstractNum w:abstractNumId="76">
    <w:nsid w:val="2A155DBC"/>
    <w:multiLevelType w:val="hybridMultilevel"/>
    <w:lvl w:ilvl="0">
      <w:lvlJc w:val="left"/>
      <w:lvlText w:val="+"/>
      <w:numFmt w:val="bullet"/>
      <w:start w:val="1"/>
    </w:lvl>
  </w:abstractNum>
  <w:abstractNum w:abstractNumId="77">
    <w:nsid w:val="1D9F6E5F"/>
    <w:multiLevelType w:val="hybridMultilevel"/>
    <w:lvl w:ilvl="0">
      <w:lvlJc w:val="left"/>
      <w:lvlText w:val="*"/>
      <w:numFmt w:val="bullet"/>
      <w:start w:val="1"/>
    </w:lvl>
  </w:abstractNum>
  <w:abstractNum w:abstractNumId="78">
    <w:nsid w:val="97E1B4E"/>
    <w:multiLevelType w:val="hybridMultilevel"/>
    <w:lvl w:ilvl="0">
      <w:lvlJc w:val="left"/>
      <w:lvlText w:val="●"/>
      <w:numFmt w:val="bullet"/>
      <w:start w:val="1"/>
    </w:lvl>
  </w:abstractNum>
  <w:abstractNum w:abstractNumId="79">
    <w:nsid w:val="51088277"/>
    <w:multiLevelType w:val="hybridMultilevel"/>
    <w:lvl w:ilvl="0">
      <w:lvlJc w:val="left"/>
      <w:lvlText w:val="●"/>
      <w:numFmt w:val="bullet"/>
      <w:start w:val="1"/>
    </w:lvl>
    <w:lvl w:ilvl="1">
      <w:lvlJc w:val="left"/>
      <w:lvlText w:val="(%2)"/>
      <w:numFmt w:val="lowerLetter"/>
      <w:start w:val="2"/>
    </w:lvl>
  </w:abstractNum>
  <w:abstractNum w:abstractNumId="80">
    <w:nsid w:val="1CA0C5FA"/>
    <w:multiLevelType w:val="hybridMultilevel"/>
    <w:lvl w:ilvl="0">
      <w:lvlJc w:val="left"/>
      <w:lvlText w:val="●"/>
      <w:numFmt w:val="bullet"/>
      <w:start w:val="1"/>
    </w:lvl>
    <w:lvl w:ilvl="1">
      <w:lvlJc w:val="left"/>
      <w:lvlText w:val="(%2)"/>
      <w:numFmt w:val="lowerLetter"/>
      <w:start w:val="35"/>
    </w:lvl>
  </w:abstractNum>
  <w:abstractNum w:abstractNumId="81">
    <w:nsid w:val="53584BCB"/>
    <w:multiLevelType w:val="hybridMultilevel"/>
    <w:lvl w:ilvl="0">
      <w:lvlJc w:val="left"/>
      <w:lvlText w:val="●"/>
      <w:numFmt w:val="bullet"/>
      <w:start w:val="1"/>
    </w:lvl>
  </w:abstractNum>
  <w:abstractNum w:abstractNumId="82">
    <w:nsid w:val="415E286C"/>
    <w:multiLevelType w:val="hybridMultilevel"/>
    <w:lvl w:ilvl="0">
      <w:lvlJc w:val="left"/>
      <w:lvlText w:val="%1."/>
      <w:numFmt w:val="decimal"/>
      <w:start w:val="15"/>
    </w:lvl>
  </w:abstractNum>
  <w:abstractNum w:abstractNumId="83">
    <w:nsid w:val="7C58FD05"/>
    <w:multiLevelType w:val="hybridMultilevel"/>
    <w:lvl w:ilvl="0">
      <w:lvlJc w:val="left"/>
      <w:lvlText w:val="%1."/>
      <w:numFmt w:val="decimal"/>
      <w:start w:val="1"/>
    </w:lvl>
    <w:lvl w:ilvl="1">
      <w:lvlJc w:val="left"/>
      <w:lvlText w:val="(%2)"/>
      <w:numFmt w:val="lowerLetter"/>
      <w:start w:val="1"/>
    </w:lvl>
  </w:abstractNum>
  <w:abstractNum w:abstractNumId="84">
    <w:nsid w:val="23D86AAC"/>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85">
    <w:nsid w:val="45E6D486"/>
    <w:multiLevelType w:val="hybridMultilevel"/>
    <w:lvl w:ilvl="0">
      <w:lvlJc w:val="left"/>
      <w:lvlText w:val="(%1)"/>
      <w:numFmt w:val="upperLetter"/>
      <w:start w:val="3"/>
    </w:lvl>
    <w:lvl w:ilvl="1">
      <w:lvlJc w:val="left"/>
      <w:lvlText w:val="(%2)"/>
      <w:numFmt w:val="lowerRoman"/>
      <w:start w:val="2"/>
    </w:lvl>
    <w:lvl w:ilvl="2">
      <w:lvlJc w:val="left"/>
      <w:lvlText w:val="(%3)"/>
      <w:numFmt w:val="upperLetter"/>
      <w:start w:val="2"/>
    </w:lvl>
  </w:abstractNum>
  <w:abstractNum w:abstractNumId="86">
    <w:nsid w:val="5C10FE21"/>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87">
    <w:nsid w:val="E7FFA2B"/>
    <w:multiLevelType w:val="hybridMultilevel"/>
    <w:lvl w:ilvl="0">
      <w:lvlJc w:val="left"/>
      <w:lvlText w:val="(%1)"/>
      <w:numFmt w:val="lowerLetter"/>
      <w:start w:val="2"/>
    </w:lvl>
  </w:abstractNum>
  <w:abstractNum w:abstractNumId="88">
    <w:nsid w:val="3C5991A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9">
    <w:nsid w:val="4BD8591A"/>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90">
    <w:nsid w:val="78DF6A5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91">
    <w:nsid w:val="39B7AAA2"/>
    <w:multiLevelType w:val="hybridMultilevel"/>
    <w:lvl w:ilvl="0">
      <w:lvlJc w:val="left"/>
      <w:lvlText w:val="(%1)"/>
      <w:numFmt w:val="lowerLetter"/>
      <w:start w:val="22"/>
    </w:lvl>
    <w:lvl w:ilvl="1">
      <w:lvlJc w:val="left"/>
      <w:lvlText w:val="%2."/>
      <w:numFmt w:val="decimal"/>
      <w:start w:val="3"/>
    </w:lvl>
    <w:lvl w:ilvl="2">
      <w:lvlJc w:val="left"/>
      <w:lvlText w:val="(%3)"/>
      <w:numFmt w:val="lowerLetter"/>
      <w:start w:val="1"/>
    </w:lvl>
  </w:abstractNum>
  <w:abstractNum w:abstractNumId="92">
    <w:nsid w:val="2B0D8DBE"/>
    <w:multiLevelType w:val="hybridMultilevel"/>
    <w:lvl w:ilvl="0">
      <w:lvlJc w:val="left"/>
      <w:lvlText w:val="(%1)"/>
      <w:numFmt w:val="lowerLetter"/>
      <w:start w:val="2"/>
    </w:lvl>
  </w:abstractNum>
  <w:abstractNum w:abstractNumId="93">
    <w:nsid w:val="6C80EC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94">
    <w:nsid w:val="379E21B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95">
    <w:nsid w:val="69E373"/>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96">
    <w:nsid w:val="2C27173B"/>
    <w:multiLevelType w:val="hybridMultilevel"/>
    <w:lvl w:ilvl="0">
      <w:lvlJc w:val="left"/>
      <w:lvlText w:val="%1"/>
      <w:numFmt w:val="lowerLetter"/>
      <w:start w:val="1"/>
    </w:lvl>
    <w:lvl w:ilvl="1">
      <w:lvlJc w:val="left"/>
      <w:lvlText w:val="(%2)"/>
      <w:numFmt w:val="lowerRoman"/>
      <w:start w:val="1"/>
    </w:lvl>
  </w:abstractNum>
  <w:abstractNum w:abstractNumId="97">
    <w:nsid w:val="4C9B0904"/>
    <w:multiLevelType w:val="hybridMultilevel"/>
    <w:lvl w:ilvl="0">
      <w:lvlJc w:val="left"/>
      <w:lvlText w:val="(%1)"/>
      <w:numFmt w:val="lowerLetter"/>
      <w:start w:val="3"/>
    </w:lvl>
    <w:lvl w:ilvl="1">
      <w:lvlJc w:val="left"/>
      <w:lvlText w:val="%2"/>
      <w:numFmt w:val="lowerRoman"/>
      <w:start w:val="1"/>
    </w:lvl>
  </w:abstractNum>
  <w:abstractNum w:abstractNumId="98">
    <w:nsid w:val="6AA7B75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9">
    <w:nsid w:val="1DF029D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00">
    <w:nsid w:val="5675FF36"/>
    <w:multiLevelType w:val="hybridMultilevel"/>
    <w:lvl w:ilvl="0">
      <w:lvlJc w:val="left"/>
      <w:lvlText w:val="(%1)"/>
      <w:numFmt w:val="lowerRoman"/>
      <w:start w:val="3"/>
    </w:lvl>
    <w:lvl w:ilvl="1">
      <w:lvlJc w:val="left"/>
      <w:lvlText w:val="(%2)"/>
      <w:numFmt w:val="lowerLetter"/>
      <w:start w:val="4"/>
    </w:lvl>
    <w:lvl w:ilvl="2">
      <w:lvlJc w:val="left"/>
      <w:lvlText w:val="(%3)"/>
      <w:numFmt w:val="lowerRoman"/>
      <w:start w:val="6"/>
    </w:lvl>
  </w:abstractNum>
  <w:abstractNum w:abstractNumId="101">
    <w:nsid w:val="3DD1509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2">
    <w:nsid w:val="3DB012B3"/>
    <w:multiLevelType w:val="hybridMultilevel"/>
    <w:lvl w:ilvl="0">
      <w:lvlJc w:val="left"/>
      <w:lvlText w:val="(%1)"/>
      <w:numFmt w:val="lowerRoman"/>
      <w:start w:val="3"/>
    </w:lvl>
  </w:abstractNum>
  <w:abstractNum w:abstractNumId="103">
    <w:nsid w:val="2708C9AF"/>
    <w:multiLevelType w:val="hybridMultilevel"/>
    <w:lvl w:ilvl="0">
      <w:lvlJc w:val="left"/>
      <w:lvlText w:val="(%1)"/>
      <w:numFmt w:val="decimal"/>
      <w:start w:val="1"/>
    </w:lvl>
  </w:abstractNum>
  <w:abstractNum w:abstractNumId="104">
    <w:nsid w:val="5B25ACE2"/>
    <w:multiLevelType w:val="hybridMultilevel"/>
    <w:lvl w:ilvl="0">
      <w:lvlJc w:val="left"/>
      <w:lvlText w:val="(%1)"/>
      <w:numFmt w:val="lowerRoman"/>
      <w:start w:val="4"/>
    </w:lvl>
  </w:abstractNum>
  <w:abstractNum w:abstractNumId="105">
    <w:nsid w:val="175DFCF0"/>
    <w:multiLevelType w:val="hybridMultilevel"/>
    <w:lvl w:ilvl="0">
      <w:lvlJc w:val="left"/>
      <w:lvlText w:val="(%1)"/>
      <w:numFmt w:val="lowerRoman"/>
      <w:start w:val="5"/>
    </w:lvl>
  </w:abstractNum>
  <w:abstractNum w:abstractNumId="106">
    <w:nsid w:val="4F97E3E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7">
    <w:nsid w:val="53B0A9E"/>
    <w:multiLevelType w:val="hybridMultilevel"/>
    <w:lvl w:ilvl="0">
      <w:lvlJc w:val="left"/>
      <w:lvlText w:val="%1"/>
      <w:numFmt w:val="lowerLetter"/>
      <w:start w:val="1"/>
    </w:lvl>
    <w:lvl w:ilvl="1">
      <w:lvlJc w:val="left"/>
      <w:lvlText w:val="(%2)"/>
      <w:numFmt w:val="lowerLetter"/>
      <w:start w:val="61"/>
    </w:lvl>
  </w:abstractNum>
  <w:abstractNum w:abstractNumId="108">
    <w:nsid w:val="34FD6B4F"/>
    <w:multiLevelType w:val="hybridMultilevel"/>
    <w:lvl w:ilvl="0">
      <w:lvlJc w:val="left"/>
      <w:lvlText w:val="(%1)"/>
      <w:numFmt w:val="lowerLetter"/>
      <w:start w:val="2"/>
    </w:lvl>
    <w:lvl w:ilvl="1">
      <w:lvlJc w:val="left"/>
      <w:lvlText w:val="%2"/>
      <w:numFmt w:val="lowerLetter"/>
      <w:start w:val="1"/>
    </w:lvl>
  </w:abstractNum>
  <w:abstractNum w:abstractNumId="109">
    <w:nsid w:val="5915FF32"/>
    <w:multiLevelType w:val="hybridMultilevel"/>
    <w:lvl w:ilvl="0">
      <w:lvlJc w:val="left"/>
      <w:lvlText w:val="%1"/>
      <w:numFmt w:val="decimal"/>
      <w:start w:val="1"/>
    </w:lvl>
    <w:lvl w:ilvl="1">
      <w:lvlJc w:val="left"/>
      <w:lvlText w:val="(%2)"/>
      <w:numFmt w:val="lowerRoman"/>
      <w:start w:val="1"/>
    </w:lvl>
  </w:abstractNum>
  <w:abstractNum w:abstractNumId="110">
    <w:nsid w:val="56438D15"/>
    <w:multiLevelType w:val="hybridMultilevel"/>
    <w:lvl w:ilvl="0">
      <w:lvlJc w:val="left"/>
      <w:lvlText w:val="(%1)"/>
      <w:numFmt w:val="decimal"/>
      <w:start w:val="1"/>
    </w:lvl>
    <w:lvl w:ilvl="1">
      <w:lvlJc w:val="left"/>
      <w:lvlText w:val="%2"/>
      <w:numFmt w:val="lowerRoman"/>
      <w:start w:val="1"/>
    </w:lvl>
  </w:abstractNum>
  <w:abstractNum w:abstractNumId="111">
    <w:nsid w:val="519E3149"/>
    <w:multiLevelType w:val="hybridMultilevel"/>
    <w:lvl w:ilvl="0">
      <w:lvlJc w:val="left"/>
      <w:lvlText w:val="(%1)"/>
      <w:numFmt w:val="upperLetter"/>
      <w:start w:val="1"/>
    </w:lvl>
  </w:abstractNum>
  <w:abstractNum w:abstractNumId="112">
    <w:nsid w:val="2C6E4AFD"/>
    <w:multiLevelType w:val="hybridMultilevel"/>
    <w:lvl w:ilvl="0">
      <w:lvlJc w:val="left"/>
      <w:lvlText w:val="(%1)"/>
      <w:numFmt w:val="upperLetter"/>
      <w:start w:val="2"/>
    </w:lvl>
  </w:abstractNum>
  <w:abstractNum w:abstractNumId="113">
    <w:nsid w:val="17A1B5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4">
    <w:nsid w:val="4DF72E4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15">
    <w:nsid w:val="5046B5A9"/>
    <w:multiLevelType w:val="hybridMultilevel"/>
    <w:lvl w:ilvl="0">
      <w:lvlJc w:val="left"/>
      <w:lvlText w:val="%1"/>
      <w:numFmt w:val="decimal"/>
      <w:start w:val="1"/>
    </w:lvl>
    <w:lvl w:ilvl="1">
      <w:lvlJc w:val="left"/>
      <w:lvlText w:val="(%2)"/>
      <w:numFmt w:val="lowerLetter"/>
      <w:start w:val="4"/>
    </w:lvl>
  </w:abstractNum>
  <w:abstractNum w:abstractNumId="116">
    <w:nsid w:val="5D888A08"/>
    <w:multiLevelType w:val="hybridMultilevel"/>
    <w:lvl w:ilvl="0">
      <w:lvlJc w:val="left"/>
      <w:lvlText w:val="%1."/>
      <w:numFmt w:val="decimal"/>
      <w:start w:val="6"/>
    </w:lvl>
    <w:lvl w:ilvl="1">
      <w:lvlJc w:val="left"/>
      <w:lvlText w:val="(%2)"/>
      <w:numFmt w:val="lowerLetter"/>
      <w:start w:val="1"/>
    </w:lvl>
  </w:abstractNum>
  <w:abstractNum w:abstractNumId="117">
    <w:nsid w:val="2A082C70"/>
    <w:multiLevelType w:val="hybridMultilevel"/>
    <w:lvl w:ilvl="0">
      <w:lvlJc w:val="left"/>
      <w:lvlText w:val="%1"/>
      <w:numFmt w:val="decimal"/>
      <w:start w:val="1"/>
    </w:lvl>
    <w:lvl w:ilvl="1">
      <w:lvlJc w:val="left"/>
      <w:lvlText w:val="(%2)"/>
      <w:numFmt w:val="lowerLetter"/>
      <w:start w:val="2"/>
    </w:lvl>
  </w:abstractNum>
  <w:abstractNum w:abstractNumId="118">
    <w:nsid w:val="5EC6AFD4"/>
    <w:multiLevelType w:val="hybridMultilevel"/>
    <w:lvl w:ilvl="0">
      <w:lvlJc w:val="left"/>
      <w:lvlText w:val="%1."/>
      <w:numFmt w:val="decimal"/>
      <w:start w:val="7"/>
    </w:lvl>
    <w:lvl w:ilvl="1">
      <w:lvlJc w:val="left"/>
      <w:lvlText w:val="%2"/>
      <w:numFmt w:val="lowerLetter"/>
      <w:start w:val="1"/>
    </w:lvl>
  </w:abstractNum>
  <w:abstractNum w:abstractNumId="119">
    <w:nsid w:val="19E21BB2"/>
    <w:multiLevelType w:val="hybridMultilevel"/>
    <w:lvl w:ilvl="0">
      <w:lvlJc w:val="left"/>
      <w:lvlText w:val="%1."/>
      <w:numFmt w:val="decimal"/>
      <w:start w:val="10"/>
    </w:lvl>
    <w:lvl w:ilvl="1">
      <w:lvlJc w:val="left"/>
      <w:lvlText w:val="(%2)"/>
      <w:numFmt w:val="lowerLetter"/>
      <w:start w:val="1"/>
    </w:lvl>
  </w:abstractNum>
  <w:abstractNum w:abstractNumId="120">
    <w:nsid w:val="75E0858A"/>
    <w:multiLevelType w:val="hybridMultilevel"/>
    <w:lvl w:ilvl="0">
      <w:lvlJc w:val="left"/>
      <w:lvlText w:val="(%1)"/>
      <w:numFmt w:val="lowerLetter"/>
      <w:start w:val="2"/>
    </w:lvl>
  </w:abstractNum>
  <w:abstractNum w:abstractNumId="121">
    <w:nsid w:val="57A61A29"/>
    <w:multiLevelType w:val="hybridMultilevel"/>
    <w:lvl w:ilvl="0">
      <w:lvlJc w:val="left"/>
      <w:lvlText w:val="(%1)"/>
      <w:numFmt w:val="lowerLetter"/>
      <w:start w:val="4"/>
    </w:lvl>
  </w:abstractNum>
  <w:abstractNum w:abstractNumId="122">
    <w:nsid w:val="5399C654"/>
    <w:multiLevelType w:val="hybridMultilevel"/>
    <w:lvl w:ilvl="0">
      <w:lvlJc w:val="left"/>
      <w:lvlText w:val="(%1)"/>
      <w:numFmt w:val="lowerLetter"/>
      <w:start w:val="10"/>
    </w:lvl>
  </w:abstractNum>
  <w:abstractNum w:abstractNumId="123">
    <w:nsid w:val="20EE1348"/>
    <w:multiLevelType w:val="hybridMultilevel"/>
    <w:lvl w:ilvl="0">
      <w:lvlJc w:val="left"/>
      <w:lvlText w:val="%1"/>
      <w:numFmt w:val="decimal"/>
      <w:start w:val="1"/>
    </w:lvl>
    <w:lvl w:ilvl="1">
      <w:lvlJc w:val="left"/>
      <w:lvlText w:val="·"/>
      <w:numFmt w:val="bullet"/>
      <w:start w:val="1"/>
    </w:lvl>
  </w:abstractNum>
  <w:abstractNum w:abstractNumId="124">
    <w:nsid w:val="4427069A"/>
    <w:multiLevelType w:val="hybridMultilevel"/>
    <w:lvl w:ilvl="0">
      <w:lvlJc w:val="left"/>
      <w:lvlText w:val="2"/>
      <w:numFmt w:val="bullet"/>
      <w:start w:val="1"/>
    </w:lvl>
  </w:abstractNum>
  <w:abstractNum w:abstractNumId="125">
    <w:nsid w:val="B37E80A"/>
    <w:multiLevelType w:val="hybridMultilevel"/>
    <w:lvl w:ilvl="0">
      <w:lvlJc w:val="left"/>
      <w:lvlText w:val="·"/>
      <w:numFmt w:val="bullet"/>
      <w:start w:val="1"/>
    </w:lvl>
  </w:abstractNum>
  <w:abstractNum w:abstractNumId="126">
    <w:nsid w:val="2157F6BC"/>
    <w:multiLevelType w:val="hybridMultilevel"/>
    <w:lvl w:ilvl="0">
      <w:lvlJc w:val="left"/>
      <w:lvlText w:val="%1."/>
      <w:numFmt w:val="decimal"/>
      <w:start w:val="1"/>
    </w:lvl>
  </w:abstractNum>
  <w:abstractNum w:abstractNumId="127">
    <w:nsid w:val="704E1DD5"/>
    <w:multiLevelType w:val="hybridMultilevel"/>
    <w:lvl w:ilvl="0">
      <w:lvlJc w:val="left"/>
      <w:lvlText w:val="§"/>
      <w:numFmt w:val="bullet"/>
      <w:start w:val="1"/>
    </w:lvl>
    <w:lvl w:ilvl="1">
      <w:lvlJc w:val="left"/>
      <w:lvlText w:val="%2."/>
      <w:numFmt w:val="decimal"/>
      <w:start w:val="3"/>
    </w:lvl>
  </w:abstractNum>
  <w:abstractNum w:abstractNumId="128">
    <w:nsid w:val="57D2F10E"/>
    <w:multiLevelType w:val="hybridMultilevel"/>
    <w:lvl w:ilvl="0">
      <w:lvlJc w:val="left"/>
      <w:lvlText w:val="%1."/>
      <w:numFmt w:val="decimal"/>
      <w:start w:val="4"/>
    </w:lvl>
  </w:abstractNum>
  <w:abstractNum w:abstractNumId="129">
    <w:nsid w:val="BFFAE18"/>
    <w:multiLevelType w:val="hybridMultilevel"/>
    <w:lvl w:ilvl="0">
      <w:lvlJc w:val="left"/>
      <w:lvlText w:val="%1."/>
      <w:numFmt w:val="decimal"/>
      <w:start w:val="6"/>
    </w:lvl>
  </w:abstractNum>
  <w:abstractNum w:abstractNumId="130">
    <w:nsid w:val="E3E47A8"/>
    <w:multiLevelType w:val="hybridMultilevel"/>
    <w:lvl w:ilvl="0">
      <w:lvlJc w:val="left"/>
      <w:lvlText w:val="%1"/>
      <w:numFmt w:val="decimal"/>
      <w:start w:val="1"/>
    </w:lvl>
    <w:lvl w:ilvl="1">
      <w:lvlJc w:val="left"/>
      <w:lvlText w:val="%2."/>
      <w:numFmt w:val="decimal"/>
      <w:start w:val="11"/>
    </w:lvl>
  </w:abstractNum>
  <w:abstractNum w:abstractNumId="131">
    <w:nsid w:val="2E48F044"/>
    <w:multiLevelType w:val="hybridMultilevel"/>
    <w:lvl w:ilvl="0">
      <w:lvlJc w:val="left"/>
      <w:lvlText w:val="(%1)"/>
      <w:numFmt w:val="decimal"/>
      <w:start w:val="21"/>
    </w:lvl>
    <w:lvl w:ilvl="1">
      <w:lvlJc w:val="left"/>
      <w:lvlText w:val="%2."/>
      <w:numFmt w:val="decimal"/>
      <w:start w:val="14"/>
    </w:lvl>
  </w:abstractNum>
  <w:abstractNum w:abstractNumId="132">
    <w:nsid w:val="49D0FEAC"/>
    <w:multiLevelType w:val="hybridMultilevel"/>
    <w:lvl w:ilvl="0">
      <w:lvlJc w:val="left"/>
      <w:lvlText w:val="%1."/>
      <w:numFmt w:val="decimal"/>
      <w:start w:val="16"/>
    </w:lvl>
  </w:abstractNum>
  <w:abstractNum w:abstractNumId="133">
    <w:nsid w:val="4BEE5A5B"/>
    <w:multiLevelType w:val="hybridMultilevel"/>
    <w:lvl w:ilvl="0">
      <w:lvlJc w:val="left"/>
      <w:lvlText w:val="3"/>
      <w:numFmt w:val="bullet"/>
      <w:start w:val="1"/>
    </w:lvl>
  </w:abstractNum>
  <w:abstractNum w:abstractNumId="134">
    <w:nsid w:val="5551B9F3"/>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35">
    <w:nsid w:val="24F6AB8E"/>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136">
    <w:nsid w:val="634C574C"/>
    <w:multiLevelType w:val="hybridMultilevel"/>
    <w:lvl w:ilvl="0">
      <w:lvlJc w:val="left"/>
      <w:lvlText w:val="%1."/>
      <w:numFmt w:val="decimal"/>
      <w:start w:val="1"/>
    </w:lvl>
    <w:lvl w:ilvl="1">
      <w:lvlJc w:val="left"/>
      <w:lvlText w:val="%2)"/>
      <w:numFmt w:val="lowerLetter"/>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abstractNum>
  <w:abstractNum w:abstractNumId="138">
    <w:nsid w:val="2A31B62D"/>
    <w:multiLevelType w:val="hybridMultilevel"/>
    <w:lvl w:ilvl="0">
      <w:lvlJc w:val="left"/>
      <w:lvlText w:val="(%1)"/>
      <w:numFmt w:val="decimal"/>
      <w:start w:val="2"/>
    </w:lvl>
  </w:abstractNum>
  <w:abstractNum w:abstractNumId="139">
    <w:nsid w:val="1849C29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06" Type="http://schemas.openxmlformats.org/officeDocument/2006/relationships/image" Target="media/image184.png"/><Relationship Id="rId219" Type="http://schemas.openxmlformats.org/officeDocument/2006/relationships/image" Target="media/image185.png"/><Relationship Id="rId229"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263" Type="http://schemas.openxmlformats.org/officeDocument/2006/relationships/image" Target="media/image218.png"/><Relationship Id="rId264" Type="http://schemas.openxmlformats.org/officeDocument/2006/relationships/image" Target="media/image219.png"/><Relationship Id="rId265" Type="http://schemas.openxmlformats.org/officeDocument/2006/relationships/image" Target="media/image220.png"/><Relationship Id="rId266" Type="http://schemas.openxmlformats.org/officeDocument/2006/relationships/image" Target="media/image221.png"/><Relationship Id="rId267" Type="http://schemas.openxmlformats.org/officeDocument/2006/relationships/image" Target="media/image222.pn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png"/><Relationship Id="rId272" Type="http://schemas.openxmlformats.org/officeDocument/2006/relationships/image" Target="media/image227.png"/><Relationship Id="rId273" Type="http://schemas.openxmlformats.org/officeDocument/2006/relationships/image" Target="media/image228.png"/><Relationship Id="rId274" Type="http://schemas.openxmlformats.org/officeDocument/2006/relationships/image" Target="media/image229.png"/><Relationship Id="rId275" Type="http://schemas.openxmlformats.org/officeDocument/2006/relationships/image" Target="media/image230.png"/><Relationship Id="rId276" Type="http://schemas.openxmlformats.org/officeDocument/2006/relationships/image" Target="media/image231.png"/><Relationship Id="rId277" Type="http://schemas.openxmlformats.org/officeDocument/2006/relationships/image" Target="media/image232.png"/><Relationship Id="rId278" Type="http://schemas.openxmlformats.org/officeDocument/2006/relationships/image" Target="media/image233.png"/><Relationship Id="rId279" Type="http://schemas.openxmlformats.org/officeDocument/2006/relationships/image" Target="media/image234.png"/><Relationship Id="rId280" Type="http://schemas.openxmlformats.org/officeDocument/2006/relationships/image" Target="media/image235.png"/><Relationship Id="rId281" Type="http://schemas.openxmlformats.org/officeDocument/2006/relationships/image" Target="media/image236.png"/><Relationship Id="rId282" Type="http://schemas.openxmlformats.org/officeDocument/2006/relationships/image" Target="media/image237.png"/><Relationship Id="rId283" Type="http://schemas.openxmlformats.org/officeDocument/2006/relationships/image" Target="media/image238.png"/><Relationship Id="rId284" Type="http://schemas.openxmlformats.org/officeDocument/2006/relationships/image" Target="media/image239.png"/><Relationship Id="rId285" Type="http://schemas.openxmlformats.org/officeDocument/2006/relationships/image" Target="media/image240.png"/><Relationship Id="rId286" Type="http://schemas.openxmlformats.org/officeDocument/2006/relationships/image" Target="media/image241.png"/><Relationship Id="rId287" Type="http://schemas.openxmlformats.org/officeDocument/2006/relationships/image" Target="media/image242.png"/><Relationship Id="rId288" Type="http://schemas.openxmlformats.org/officeDocument/2006/relationships/image" Target="media/image243.png"/><Relationship Id="rId289" Type="http://schemas.openxmlformats.org/officeDocument/2006/relationships/image" Target="media/image244.png"/><Relationship Id="rId290" Type="http://schemas.openxmlformats.org/officeDocument/2006/relationships/image" Target="media/image245.png"/><Relationship Id="rId291" Type="http://schemas.openxmlformats.org/officeDocument/2006/relationships/image" Target="media/image246.png"/><Relationship Id="rId292" Type="http://schemas.openxmlformats.org/officeDocument/2006/relationships/image" Target="media/image247.png"/><Relationship Id="rId293" Type="http://schemas.openxmlformats.org/officeDocument/2006/relationships/image" Target="media/image248.png"/><Relationship Id="rId294" Type="http://schemas.openxmlformats.org/officeDocument/2006/relationships/image" Target="media/image249.png"/><Relationship Id="rId295" Type="http://schemas.openxmlformats.org/officeDocument/2006/relationships/image" Target="media/image250.png"/><Relationship Id="rId296" Type="http://schemas.openxmlformats.org/officeDocument/2006/relationships/image" Target="media/image251.png"/><Relationship Id="rId297" Type="http://schemas.openxmlformats.org/officeDocument/2006/relationships/image" Target="media/image252.png"/><Relationship Id="rId298" Type="http://schemas.openxmlformats.org/officeDocument/2006/relationships/image" Target="media/image253.png"/><Relationship Id="rId299" Type="http://schemas.openxmlformats.org/officeDocument/2006/relationships/image" Target="media/image254.png"/><Relationship Id="rId300" Type="http://schemas.openxmlformats.org/officeDocument/2006/relationships/image" Target="media/image255.png"/><Relationship Id="rId301" Type="http://schemas.openxmlformats.org/officeDocument/2006/relationships/image" Target="media/image256.png"/><Relationship Id="rId302" Type="http://schemas.openxmlformats.org/officeDocument/2006/relationships/image" Target="media/image257.png"/><Relationship Id="rId303" Type="http://schemas.openxmlformats.org/officeDocument/2006/relationships/image" Target="media/image258.png"/><Relationship Id="rId304" Type="http://schemas.openxmlformats.org/officeDocument/2006/relationships/image" Target="media/image259.png"/><Relationship Id="rId305" Type="http://schemas.openxmlformats.org/officeDocument/2006/relationships/image" Target="media/image260.png"/><Relationship Id="rId306" Type="http://schemas.openxmlformats.org/officeDocument/2006/relationships/image" Target="media/image261.png"/><Relationship Id="rId307" Type="http://schemas.openxmlformats.org/officeDocument/2006/relationships/image" Target="media/image262.png"/><Relationship Id="rId308" Type="http://schemas.openxmlformats.org/officeDocument/2006/relationships/image" Target="media/image263.png"/><Relationship Id="rId309" Type="http://schemas.openxmlformats.org/officeDocument/2006/relationships/image" Target="media/image264.png"/><Relationship Id="rId310" Type="http://schemas.openxmlformats.org/officeDocument/2006/relationships/image" Target="media/image265.png"/><Relationship Id="rId311" Type="http://schemas.openxmlformats.org/officeDocument/2006/relationships/image" Target="media/image266.png"/><Relationship Id="rId312" Type="http://schemas.openxmlformats.org/officeDocument/2006/relationships/image" Target="media/image267.png"/><Relationship Id="rId313" Type="http://schemas.openxmlformats.org/officeDocument/2006/relationships/image" Target="media/image268.png"/><Relationship Id="rId191" Type="http://schemas.openxmlformats.org/officeDocument/2006/relationships/hyperlink" Target="https://www.sec.gov/Archives/edgar/data/1393434/000119312514286966/d764831dex31.htm" TargetMode="External"/><Relationship Id="rId192" Type="http://schemas.openxmlformats.org/officeDocument/2006/relationships/hyperlink" Target="https://www.sec.gov/Archives/edgar/data/1393434/000119312514286966/d764831dex32.htm" TargetMode="External"/><Relationship Id="rId193" Type="http://schemas.openxmlformats.org/officeDocument/2006/relationships/hyperlink" Target="https://www.sec.gov/Archives/edgar/data/1393434/000119312514265729/d679502dex41.htm" TargetMode="External"/><Relationship Id="rId194" Type="http://schemas.openxmlformats.org/officeDocument/2006/relationships/hyperlink" Target="https://www.sec.gov/Archives/edgar/data/1393434/000155837019001659/ocul-20181231ex4233ebecf.htm" TargetMode="External"/><Relationship Id="rId195" Type="http://schemas.openxmlformats.org/officeDocument/2006/relationships/hyperlink" Target="https://www.sec.gov/Archives/edgar/data/1393434/000155837020002537/ocul-20191231ex43a015860.htm" TargetMode="External"/><Relationship Id="rId196" Type="http://schemas.openxmlformats.org/officeDocument/2006/relationships/hyperlink" Target="https://www.sec.gov/Archives/edgar/data/1393434/000119312514243751/d679502dex101.htm" TargetMode="External"/><Relationship Id="rId197" Type="http://schemas.openxmlformats.org/officeDocument/2006/relationships/hyperlink" Target="https://www.sec.gov/Archives/edgar/data/1393434/000119312514243751/d679502dex102.htm" TargetMode="External"/><Relationship Id="rId198" Type="http://schemas.openxmlformats.org/officeDocument/2006/relationships/hyperlink" Target="https://www.sec.gov/Archives/edgar/data/1393434/000119312514243751/d679502dex103.htm" TargetMode="External"/><Relationship Id="rId199" Type="http://schemas.openxmlformats.org/officeDocument/2006/relationships/hyperlink" Target="https://www.sec.gov/Archives/edgar/data/1393434/000119312514265729/d679502dex104.htm" TargetMode="External"/><Relationship Id="rId200" Type="http://schemas.openxmlformats.org/officeDocument/2006/relationships/hyperlink" Target="https://www.sec.gov/Archives/edgar/data/1393434/000119312514265729/d679502dex105.htm" TargetMode="External"/><Relationship Id="rId201" Type="http://schemas.openxmlformats.org/officeDocument/2006/relationships/hyperlink" Target="https://www.sec.gov/Archives/edgar/data/1393434/000119312514265729/d679502dex106.htm" TargetMode="External"/><Relationship Id="rId202" Type="http://schemas.openxmlformats.org/officeDocument/2006/relationships/hyperlink" Target="https://www.sec.gov/Archives/edgar/data/1393434/000119312514265729/d679502dex107.htm" TargetMode="External"/><Relationship Id="rId203" Type="http://schemas.openxmlformats.org/officeDocument/2006/relationships/hyperlink" Target="https://www.sec.gov/Archives/edgar/data/1393434/000155837019010684/ocul-20190930ex1015fdbd5.htm" TargetMode="External"/><Relationship Id="rId204" Type="http://schemas.openxmlformats.org/officeDocument/2006/relationships/hyperlink" Target="https://www.sec.gov/Archives/edgar/data/1393434/000155837019010684/ocul-20190930ex10267316e.htm" TargetMode="External"/><Relationship Id="rId205" Type="http://schemas.openxmlformats.org/officeDocument/2006/relationships/hyperlink" Target="https://www.sec.gov/Archives/edgar/data/1393434/000119312514243751/d679502dex108.htm" TargetMode="External"/><Relationship Id="rId207" Type="http://schemas.openxmlformats.org/officeDocument/2006/relationships/hyperlink" Target="https://www.sec.gov/Archives/edgar/data/1393434/000119312514243751/d679502dex109.htm" TargetMode="External"/><Relationship Id="rId208" Type="http://schemas.openxmlformats.org/officeDocument/2006/relationships/hyperlink" Target="https://www.sec.gov/Archives/edgar/data/1393434/000119312514265729/d679502dex1010.htm" TargetMode="External"/><Relationship Id="rId209" Type="http://schemas.openxmlformats.org/officeDocument/2006/relationships/hyperlink" Target="https://www.sec.gov/Archives/edgar/data/1393434/000119312514243751/d679502dex1012.htm" TargetMode="External"/><Relationship Id="rId210" Type="http://schemas.openxmlformats.org/officeDocument/2006/relationships/hyperlink" Target="https://www.sec.gov/Archives/edgar/data/1393434/000110465919032737/a19-10855_1ex10d1.htm" TargetMode="External"/><Relationship Id="rId211" Type="http://schemas.openxmlformats.org/officeDocument/2006/relationships/hyperlink" Target="https://www.sec.gov/Archives/edgar/data/1393434/000119312516676019/d220865dex101.htm" TargetMode="External"/><Relationship Id="rId212" Type="http://schemas.openxmlformats.org/officeDocument/2006/relationships/hyperlink" Target="https://www.sec.gov/Archives/edgar/data/1393434/000119312516763691/d416108dex101.htm" TargetMode="External"/><Relationship Id="rId213" Type="http://schemas.openxmlformats.org/officeDocument/2006/relationships/hyperlink" Target="https://www.sec.gov/Archives/edgar/data/1393434/000110465919020175/a19-7372_5ex1d1.htm" TargetMode="External"/><Relationship Id="rId214" Type="http://schemas.openxmlformats.org/officeDocument/2006/relationships/hyperlink" Target="https://www.sec.gov/Archives/edgar/data/1393434/000110465919032737/a19-10855_1ex10d2.htm" TargetMode="External"/><Relationship Id="rId215" Type="http://schemas.openxmlformats.org/officeDocument/2006/relationships/hyperlink" Target="https://www.sec.gov/Archives/edgar/data/1393434/000110465917040950/a17-15517_1ex10d2.htm" TargetMode="External"/><Relationship Id="rId216" Type="http://schemas.openxmlformats.org/officeDocument/2006/relationships/hyperlink" Target="https://www.sec.gov/Archives/edgar/data/1393434/000110465917040950/a17-15517_1ex10d3.htm" TargetMode="External"/><Relationship Id="rId217" Type="http://schemas.openxmlformats.org/officeDocument/2006/relationships/hyperlink" Target="https://www.sec.gov/Archives/edgar/data/1393434/000110465917058551/a17-22414_1ex10d1.htm" TargetMode="External"/><Relationship Id="rId218" Type="http://schemas.openxmlformats.org/officeDocument/2006/relationships/hyperlink" Target="https://www.sec.gov/Archives/edgar/data/1393434/000110465917062372/a17-23111_1ex10d1.htm" TargetMode="External"/><Relationship Id="rId220" Type="http://schemas.openxmlformats.org/officeDocument/2006/relationships/hyperlink" Target="https://www.sec.gov/Archives/edgar/data/1393434/000155837018001678/ocul-20171231ex1030f212f.htm" TargetMode="External"/><Relationship Id="rId221" Type="http://schemas.openxmlformats.org/officeDocument/2006/relationships/hyperlink" Target="https://www.sec.gov/Archives/edgar/data/1393434/000110465918057606/a18-31082_1ex10d1.htm" TargetMode="External"/><Relationship Id="rId222" Type="http://schemas.openxmlformats.org/officeDocument/2006/relationships/hyperlink" Target="https://www.sec.gov/Archives/edgar/data/1393434/000110465918075138/a18-42130_1ex10d1.htm" TargetMode="External"/><Relationship Id="rId223" Type="http://schemas.openxmlformats.org/officeDocument/2006/relationships/hyperlink" Target="https://www.sec.gov/Archives/edgar/data/1393434/000110465919009989/a19-5189_1ex10d3.htm" TargetMode="External"/><Relationship Id="rId224" Type="http://schemas.openxmlformats.org/officeDocument/2006/relationships/hyperlink" Target="https://www.sec.gov/Archives/edgar/data/1393434/000155837019007462/ocul-20190630ex1051332e2.htm" TargetMode="External"/><Relationship Id="rId225" Type="http://schemas.openxmlformats.org/officeDocument/2006/relationships/hyperlink" Target="https://www.sec.gov/Archives/edgar/data/1393434/000110465919009989/a19-5189_1ex10d4.htm" TargetMode="External"/><Relationship Id="rId226" Type="http://schemas.openxmlformats.org/officeDocument/2006/relationships/hyperlink" Target="https://www.sec.gov/Archives/edgar/data/1393434/000110465919009989/a19-5189_1ex10d1.htm" TargetMode="External"/><Relationship Id="rId227" Type="http://schemas.openxmlformats.org/officeDocument/2006/relationships/hyperlink" Target="https://www.sec.gov/Archives/edgar/data/1393434/000155837019004776/ocul-20190331ex104d65d72.htm" TargetMode="External"/><Relationship Id="rId228" Type="http://schemas.openxmlformats.org/officeDocument/2006/relationships/hyperlink" Target="https://www.sec.gov/Archives/edgar/data/1393434/000155837020005871/ocul-20200331ex101ada6fe.htm" TargetMode="External"/><Relationship Id="rId230" Type="http://schemas.openxmlformats.org/officeDocument/2006/relationships/hyperlink" Target="https://www.sec.gov/Archives/edgar/data/1393434/000110465920061664/tm2019696d1_ex10-1.htm" TargetMode="External"/><Relationship Id="rId231" Type="http://schemas.openxmlformats.org/officeDocument/2006/relationships/hyperlink" Target="https://www.sec.gov/Archives/edgar/data/1393434/000155837020012870/ocul-2020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2021-03-11T15:42:41Z</dcterms:created>
  <dcterms:modified xsi:type="dcterms:W3CDTF">2021-03-11T15:42:41Z</dcterms:modified>
</cp:coreProperties>
</file>