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8" w:lineRule="auto"/>
        <w:framePr w:w="8860" w:h="164" w:wrap="auto" w:vAnchor="page" w:hAnchor="page" w:x="380" w:y="9168"/>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(§232.405 of this chapter) during the preceding 12 months (or for such shorter period that the registrant was required to submit such files).</w:t>
      </w:r>
    </w:p>
    <w:p>
      <w:pPr>
        <w:jc w:val="center"/>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249555</wp:posOffset>
                </wp:positionH>
                <wp:positionV relativeFrom="page">
                  <wp:posOffset>628015</wp:posOffset>
                </wp:positionV>
                <wp:extent cx="704405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4055" cy="4763"/>
                        </a:xfrm>
                        <a:prstGeom prst="line">
                          <a:avLst/>
                        </a:prstGeom>
                        <a:solidFill>
                          <a:srgbClr val="FFFFFF"/>
                        </a:solidFill>
                        <a:ln w="37718">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9.65pt,49.45pt" to="574.3pt,49.45pt" o:allowincell="f" strokecolor="#000000" strokeweight="2.9699pt">
                <w10:wrap anchorx="page" anchory="page"/>
              </v:line>
            </w:pict>
          </mc:Fallback>
        </mc:AlternateContent>
        <mc:AlternateContent>
          <mc:Choice Requires="wps">
            <w:drawing>
              <wp:anchor simplePos="0" relativeHeight="251657728" behindDoc="1" locked="0" layoutInCell="0" allowOverlap="1">
                <wp:simplePos x="0" y="0"/>
                <wp:positionH relativeFrom="page">
                  <wp:posOffset>249555</wp:posOffset>
                </wp:positionH>
                <wp:positionV relativeFrom="page">
                  <wp:posOffset>689610</wp:posOffset>
                </wp:positionV>
                <wp:extent cx="704405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4055" cy="4763"/>
                        </a:xfrm>
                        <a:prstGeom prst="line">
                          <a:avLst/>
                        </a:prstGeom>
                        <a:solidFill>
                          <a:srgbClr val="FFFFFF"/>
                        </a:solidFill>
                        <a:ln w="603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9.65pt,54.3pt" to="574.3pt,54.3pt" o:allowincell="f" strokecolor="#000000" strokeweight="0.4752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mc:AlternateContent>
          <mc:Choice Requires="wps">
            <w:drawing>
              <wp:anchor simplePos="0" relativeHeight="251657728" behindDoc="1" locked="0" layoutInCell="0" allowOverlap="1">
                <wp:simplePos x="0" y="0"/>
                <wp:positionH relativeFrom="column">
                  <wp:posOffset>2627630</wp:posOffset>
                </wp:positionH>
                <wp:positionV relativeFrom="paragraph">
                  <wp:posOffset>104775</wp:posOffset>
                </wp:positionV>
                <wp:extent cx="1752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82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9pt,8.25pt" to="344.9pt,8.25pt" o:allowincell="f" strokecolor="#000000" strokeweight="1.0098pt"/>
            </w:pict>
          </mc:Fallback>
        </mc:AlternateContent>
      </w:r>
    </w:p>
    <w:p>
      <w:pPr>
        <w:spacing w:after="0" w:line="178"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mc:AlternateContent>
          <mc:Choice Requires="wps">
            <w:drawing>
              <wp:anchor simplePos="0" relativeHeight="251657728" behindDoc="1" locked="0" layoutInCell="0" allowOverlap="1">
                <wp:simplePos x="0" y="0"/>
                <wp:positionH relativeFrom="column">
                  <wp:posOffset>2627630</wp:posOffset>
                </wp:positionH>
                <wp:positionV relativeFrom="paragraph">
                  <wp:posOffset>107315</wp:posOffset>
                </wp:positionV>
                <wp:extent cx="1752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82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9pt,8.45pt" to="344.9pt,8.45pt" o:allowincell="f" strokecolor="#000000" strokeweight="1.0098pt"/>
            </w:pict>
          </mc:Fallback>
        </mc:AlternateContent>
      </w:r>
    </w:p>
    <w:p>
      <w:pPr>
        <w:spacing w:after="0" w:line="175"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tabs>
          <w:tab w:leader="none" w:pos="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tabs>
          <w:tab w:leader="none" w:pos="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4" w:lineRule="exact"/>
        <w:rPr>
          <w:rFonts w:ascii="Times New Roman" w:cs="Times New Roman" w:eastAsia="Times New Roman" w:hAnsi="Times New Roman"/>
          <w:sz w:val="15"/>
          <w:szCs w:val="15"/>
          <w:color w:val="auto"/>
        </w:rPr>
      </w:pPr>
    </w:p>
    <w:tbl>
      <w:tblPr>
        <w:tblLayout w:type="fixed"/>
        <w:tblInd w:w="3580" w:type="dxa"/>
        <w:tblCellMar>
          <w:top w:w="0" w:type="dxa"/>
          <w:left w:w="0" w:type="dxa"/>
          <w:bottom w:w="0" w:type="dxa"/>
          <w:right w:w="0" w:type="dxa"/>
        </w:tblCellMar>
      </w:tblPr>
      <w:tr>
        <w:trPr>
          <w:trHeight w:val="184"/>
        </w:trPr>
        <w:tc>
          <w:tcPr>
            <w:tcW w:w="2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80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40" w:type="dxa"/>
            <w:vAlign w:val="bottom"/>
            <w:tcBorders>
              <w:bottom w:val="single" w:sz="8" w:color="auto"/>
            </w:tcBorders>
          </w:tcPr>
          <w:p>
            <w:pPr>
              <w:spacing w:after="0"/>
              <w:rPr>
                <w:sz w:val="16"/>
                <w:szCs w:val="16"/>
                <w:color w:val="auto"/>
              </w:rPr>
            </w:pPr>
          </w:p>
        </w:tc>
      </w:tr>
      <w:tr>
        <w:trPr>
          <w:trHeight w:val="215"/>
        </w:trPr>
        <w:tc>
          <w:tcPr>
            <w:tcW w:w="388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Commission file number 001-36554</w:t>
            </w:r>
          </w:p>
        </w:tc>
      </w:tr>
    </w:tbl>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mc:AlternateContent>
          <mc:Choice Requires="wps">
            <w:drawing>
              <wp:anchor simplePos="0" relativeHeight="251657728" behindDoc="1" locked="0" layoutInCell="0" allowOverlap="1">
                <wp:simplePos x="0" y="0"/>
                <wp:positionH relativeFrom="column">
                  <wp:posOffset>2627630</wp:posOffset>
                </wp:positionH>
                <wp:positionV relativeFrom="paragraph">
                  <wp:posOffset>80645</wp:posOffset>
                </wp:positionV>
                <wp:extent cx="1752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82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9pt,6.35pt" to="344.9pt,6.35pt" o:allowincell="f" strokecolor="#000000" strokeweight="1.0098pt"/>
            </w:pict>
          </mc:Fallback>
        </mc:AlternateContent>
      </w:r>
    </w:p>
    <w:p>
      <w:pPr>
        <w:spacing w:after="0" w:line="141" w:lineRule="exact"/>
        <w:rPr>
          <w:rFonts w:ascii="Times New Roman" w:cs="Times New Roman" w:eastAsia="Times New Roman" w:hAnsi="Times New Roman"/>
          <w:sz w:val="15"/>
          <w:szCs w:val="15"/>
          <w:color w:val="auto"/>
        </w:rPr>
      </w:pPr>
    </w:p>
    <w:tbl>
      <w:tblPr>
        <w:tblLayout w:type="fixed"/>
        <w:tblInd w:w="1540" w:type="dxa"/>
        <w:tblCellMar>
          <w:top w:w="0" w:type="dxa"/>
          <w:left w:w="0" w:type="dxa"/>
          <w:bottom w:w="0" w:type="dxa"/>
          <w:right w:w="0" w:type="dxa"/>
        </w:tblCellMar>
      </w:tblPr>
      <w:tr>
        <w:trPr>
          <w:trHeight w:val="282"/>
        </w:trPr>
        <w:tc>
          <w:tcPr>
            <w:tcW w:w="2600" w:type="dxa"/>
            <w:vAlign w:val="bottom"/>
          </w:tcPr>
          <w:p>
            <w:pPr>
              <w:spacing w:after="0"/>
              <w:rPr>
                <w:sz w:val="24"/>
                <w:szCs w:val="24"/>
                <w:color w:val="auto"/>
              </w:rPr>
            </w:pPr>
          </w:p>
        </w:tc>
        <w:tc>
          <w:tcPr>
            <w:tcW w:w="3400" w:type="dxa"/>
            <w:vAlign w:val="bottom"/>
            <w:gridSpan w:val="2"/>
          </w:tcPr>
          <w:p>
            <w:pPr>
              <w:jc w:val="center"/>
              <w:ind w:right="640"/>
              <w:spacing w:after="0"/>
              <w:rPr>
                <w:sz w:val="20"/>
                <w:szCs w:val="20"/>
                <w:color w:val="auto"/>
              </w:rPr>
            </w:pPr>
            <w:r>
              <w:rPr>
                <w:rFonts w:ascii="Times New Roman" w:cs="Times New Roman" w:eastAsia="Times New Roman" w:hAnsi="Times New Roman"/>
                <w:sz w:val="24"/>
                <w:szCs w:val="24"/>
                <w:b w:val="1"/>
                <w:bCs w:val="1"/>
                <w:color w:val="auto"/>
                <w:w w:val="98"/>
              </w:rPr>
              <w:t>Ocular Therapeutix, Inc.</w:t>
            </w:r>
          </w:p>
        </w:tc>
        <w:tc>
          <w:tcPr>
            <w:tcW w:w="1360" w:type="dxa"/>
            <w:vAlign w:val="bottom"/>
          </w:tcPr>
          <w:p>
            <w:pPr>
              <w:spacing w:after="0"/>
              <w:rPr>
                <w:sz w:val="24"/>
                <w:szCs w:val="24"/>
                <w:color w:val="auto"/>
              </w:rPr>
            </w:pPr>
          </w:p>
        </w:tc>
      </w:tr>
      <w:tr>
        <w:trPr>
          <w:trHeight w:val="217"/>
        </w:trPr>
        <w:tc>
          <w:tcPr>
            <w:tcW w:w="6000" w:type="dxa"/>
            <w:vAlign w:val="bottom"/>
            <w:gridSpan w:val="3"/>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1360" w:type="dxa"/>
            <w:vAlign w:val="bottom"/>
          </w:tcPr>
          <w:p>
            <w:pPr>
              <w:spacing w:after="0"/>
              <w:rPr>
                <w:sz w:val="18"/>
                <w:szCs w:val="18"/>
                <w:color w:val="auto"/>
              </w:rPr>
            </w:pPr>
          </w:p>
        </w:tc>
      </w:tr>
      <w:tr>
        <w:trPr>
          <w:trHeight w:val="119"/>
        </w:trPr>
        <w:tc>
          <w:tcPr>
            <w:tcW w:w="260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55"/>
        </w:trPr>
        <w:tc>
          <w:tcPr>
            <w:tcW w:w="6000" w:type="dxa"/>
            <w:vAlign w:val="bottom"/>
            <w:gridSpan w:val="3"/>
          </w:tcPr>
          <w:p>
            <w:pPr>
              <w:jc w:val="center"/>
              <w:ind w:right="37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6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20-5560161</w:t>
            </w:r>
          </w:p>
        </w:tc>
      </w:tr>
      <w:tr>
        <w:trPr>
          <w:trHeight w:val="159"/>
        </w:trPr>
        <w:tc>
          <w:tcPr>
            <w:tcW w:w="6000" w:type="dxa"/>
            <w:vAlign w:val="bottom"/>
            <w:gridSpan w:val="3"/>
          </w:tcPr>
          <w:p>
            <w:pPr>
              <w:jc w:val="center"/>
              <w:ind w:right="37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360" w:type="dxa"/>
            <w:vAlign w:val="bottom"/>
          </w:tcPr>
          <w:p>
            <w:pPr>
              <w:jc w:val="center"/>
              <w:ind w:left="207"/>
              <w:spacing w:after="0" w:line="159"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91"/>
        </w:trPr>
        <w:tc>
          <w:tcPr>
            <w:tcW w:w="6000" w:type="dxa"/>
            <w:vAlign w:val="bottom"/>
            <w:gridSpan w:val="3"/>
          </w:tcPr>
          <w:p>
            <w:pPr>
              <w:jc w:val="center"/>
              <w:ind w:right="370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360" w:type="dxa"/>
            <w:vAlign w:val="bottom"/>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68"/>
        </w:trPr>
        <w:tc>
          <w:tcPr>
            <w:tcW w:w="6000" w:type="dxa"/>
            <w:vAlign w:val="bottom"/>
            <w:gridSpan w:val="3"/>
          </w:tcPr>
          <w:p>
            <w:pPr>
              <w:jc w:val="center"/>
              <w:ind w:right="3720"/>
              <w:spacing w:after="0"/>
              <w:rPr>
                <w:sz w:val="20"/>
                <w:szCs w:val="20"/>
                <w:color w:val="auto"/>
              </w:rPr>
            </w:pPr>
            <w:r>
              <w:rPr>
                <w:rFonts w:ascii="Times New Roman" w:cs="Times New Roman" w:eastAsia="Times New Roman" w:hAnsi="Times New Roman"/>
                <w:sz w:val="16"/>
                <w:szCs w:val="16"/>
                <w:b w:val="1"/>
                <w:bCs w:val="1"/>
                <w:color w:val="auto"/>
                <w:w w:val="99"/>
              </w:rPr>
              <w:t>15 Crosby Drive</w:t>
            </w:r>
          </w:p>
        </w:tc>
        <w:tc>
          <w:tcPr>
            <w:tcW w:w="1360" w:type="dxa"/>
            <w:vAlign w:val="bottom"/>
          </w:tcPr>
          <w:p>
            <w:pPr>
              <w:spacing w:after="0"/>
              <w:rPr>
                <w:sz w:val="23"/>
                <w:szCs w:val="23"/>
                <w:color w:val="auto"/>
              </w:rPr>
            </w:pPr>
          </w:p>
        </w:tc>
      </w:tr>
      <w:tr>
        <w:trPr>
          <w:trHeight w:val="184"/>
        </w:trPr>
        <w:tc>
          <w:tcPr>
            <w:tcW w:w="6000" w:type="dxa"/>
            <w:vAlign w:val="bottom"/>
            <w:gridSpan w:val="3"/>
          </w:tcPr>
          <w:p>
            <w:pPr>
              <w:jc w:val="center"/>
              <w:ind w:right="3700"/>
              <w:spacing w:after="0"/>
              <w:rPr>
                <w:sz w:val="20"/>
                <w:szCs w:val="20"/>
                <w:color w:val="auto"/>
              </w:rPr>
            </w:pPr>
            <w:r>
              <w:rPr>
                <w:rFonts w:ascii="Times New Roman" w:cs="Times New Roman" w:eastAsia="Times New Roman" w:hAnsi="Times New Roman"/>
                <w:sz w:val="16"/>
                <w:szCs w:val="16"/>
                <w:b w:val="1"/>
                <w:bCs w:val="1"/>
                <w:color w:val="auto"/>
                <w:w w:val="99"/>
              </w:rPr>
              <w:t>Bedford, MA</w:t>
            </w:r>
          </w:p>
        </w:tc>
        <w:tc>
          <w:tcPr>
            <w:tcW w:w="1360" w:type="dxa"/>
            <w:vAlign w:val="bottom"/>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01730</w:t>
            </w:r>
          </w:p>
        </w:tc>
      </w:tr>
      <w:tr>
        <w:trPr>
          <w:trHeight w:val="191"/>
        </w:trPr>
        <w:tc>
          <w:tcPr>
            <w:tcW w:w="6000" w:type="dxa"/>
            <w:vAlign w:val="bottom"/>
            <w:gridSpan w:val="3"/>
          </w:tcPr>
          <w:p>
            <w:pPr>
              <w:jc w:val="center"/>
              <w:ind w:right="370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1360" w:type="dxa"/>
            <w:vAlign w:val="bottom"/>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19"/>
        </w:trPr>
        <w:tc>
          <w:tcPr>
            <w:tcW w:w="5360" w:type="dxa"/>
            <w:vAlign w:val="bottom"/>
            <w:gridSpan w:val="2"/>
          </w:tcPr>
          <w:p>
            <w:pPr>
              <w:jc w:val="center"/>
              <w:ind w:left="2525"/>
              <w:spacing w:after="0"/>
              <w:rPr>
                <w:sz w:val="20"/>
                <w:szCs w:val="20"/>
                <w:color w:val="auto"/>
              </w:rPr>
            </w:pPr>
            <w:r>
              <w:rPr>
                <w:rFonts w:ascii="Times New Roman" w:cs="Times New Roman" w:eastAsia="Times New Roman" w:hAnsi="Times New Roman"/>
                <w:sz w:val="16"/>
                <w:szCs w:val="16"/>
                <w:b w:val="1"/>
                <w:bCs w:val="1"/>
                <w:color w:val="auto"/>
                <w:w w:val="99"/>
              </w:rPr>
              <w:t>(781) 357-4000</w:t>
            </w: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jc w:val="center"/>
        <w:spacing w:after="0" w:line="233"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69" w:lineRule="exact"/>
        <w:rPr>
          <w:rFonts w:ascii="Times New Roman" w:cs="Times New Roman" w:eastAsia="Times New Roman" w:hAnsi="Times New Roman"/>
          <w:sz w:val="15"/>
          <w:szCs w:val="15"/>
          <w:color w:val="auto"/>
        </w:rPr>
      </w:pPr>
    </w:p>
    <w:tbl>
      <w:tblPr>
        <w:tblLayout w:type="fixed"/>
        <w:tblInd w:w="0" w:type="dxa"/>
        <w:tblCellMar>
          <w:top w:w="0" w:type="dxa"/>
          <w:left w:w="0" w:type="dxa"/>
          <w:bottom w:w="0" w:type="dxa"/>
          <w:right w:w="0" w:type="dxa"/>
        </w:tblCellMar>
      </w:tblPr>
      <w:tr>
        <w:trPr>
          <w:trHeight w:val="176"/>
        </w:trPr>
        <w:tc>
          <w:tcPr>
            <w:tcW w:w="4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3"/>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206"/>
        </w:trPr>
        <w:tc>
          <w:tcPr>
            <w:tcW w:w="4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$0.0001 par value per share</w:t>
            </w:r>
          </w:p>
        </w:tc>
        <w:tc>
          <w:tcPr>
            <w:tcW w:w="1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OCUL</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Nasdaq Global Market</w:t>
            </w:r>
          </w:p>
        </w:tc>
        <w:tc>
          <w:tcPr>
            <w:tcW w:w="0" w:type="dxa"/>
            <w:vAlign w:val="bottom"/>
          </w:tcPr>
          <w:p>
            <w:pPr>
              <w:spacing w:after="0"/>
              <w:rPr>
                <w:sz w:val="1"/>
                <w:szCs w:val="1"/>
                <w:color w:val="auto"/>
              </w:rPr>
            </w:pPr>
          </w:p>
        </w:tc>
      </w:tr>
      <w:tr>
        <w:trPr>
          <w:trHeight w:val="232"/>
        </w:trPr>
        <w:tc>
          <w:tcPr>
            <w:tcW w:w="7940" w:type="dxa"/>
            <w:vAlign w:val="bottom"/>
            <w:gridSpan w:val="7"/>
          </w:tcPr>
          <w:p>
            <w:pPr>
              <w:ind w:left="33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2760" w:type="dxa"/>
            <w:vAlign w:val="bottom"/>
            <w:tcBorders>
              <w:bottom w:val="single" w:sz="8" w:color="auto"/>
            </w:tcBorders>
            <w:gridSpan w:val="5"/>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vMerge w:val="restart"/>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w:t>
            </w:r>
          </w:p>
        </w:tc>
        <w:tc>
          <w:tcPr>
            <w:tcW w:w="2440" w:type="dxa"/>
            <w:vAlign w:val="bottom"/>
            <w:vMerge w:val="restart"/>
          </w:tcPr>
          <w:p>
            <w:pPr>
              <w:jc w:val="center"/>
              <w:ind w:right="1861"/>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273"/>
        </w:trPr>
        <w:tc>
          <w:tcPr>
            <w:tcW w:w="7940" w:type="dxa"/>
            <w:vAlign w:val="bottom"/>
            <w:gridSpan w:val="7"/>
          </w:tcPr>
          <w:p>
            <w:pPr>
              <w:ind w:left="3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6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7940" w:type="dxa"/>
            <w:vAlign w:val="bottom"/>
            <w:gridSpan w:val="7"/>
          </w:tcPr>
          <w:p>
            <w:pPr>
              <w:ind w:left="360"/>
              <w:spacing w:after="0"/>
              <w:rPr>
                <w:sz w:val="20"/>
                <w:szCs w:val="20"/>
                <w:color w:val="auto"/>
              </w:rPr>
            </w:pPr>
            <w:r>
              <w:rPr>
                <w:rFonts w:ascii="Times New Roman" w:cs="Times New Roman" w:eastAsia="Times New Roman" w:hAnsi="Times New Roman"/>
                <w:sz w:val="16"/>
                <w:szCs w:val="16"/>
                <w:color w:val="auto"/>
                <w:w w:val="98"/>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w:t>
            </w:r>
          </w:p>
        </w:tc>
        <w:tc>
          <w:tcPr>
            <w:tcW w:w="2440" w:type="dxa"/>
            <w:vAlign w:val="bottom"/>
          </w:tcPr>
          <w:p>
            <w:pPr>
              <w:ind w:left="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jc w:val="both"/>
        <w:ind w:right="360" w:firstLine="356"/>
        <w:spacing w:after="0" w:line="241"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rFonts w:ascii="Times New Roman" w:cs="Times New Roman" w:eastAsia="Times New Roman" w:hAnsi="Times New Roman"/>
          <w:sz w:val="15"/>
          <w:szCs w:val="15"/>
          <w:color w:val="auto"/>
        </w:rPr>
      </w:pPr>
    </w:p>
    <w:p>
      <w:pPr>
        <w:spacing w:after="0" w:line="196"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5"/>
          <w:szCs w:val="15"/>
          <w:color w:val="auto"/>
        </w:rPr>
        <w:t>No</w:t>
      </w:r>
    </w:p>
    <w:p>
      <w:pPr>
        <w:spacing w:after="0" w:line="111" w:lineRule="exact"/>
        <w:rPr>
          <w:rFonts w:ascii="Times New Roman" w:cs="Times New Roman" w:eastAsia="Times New Roman" w:hAnsi="Times New Roman"/>
          <w:sz w:val="15"/>
          <w:szCs w:val="15"/>
          <w:color w:val="auto"/>
        </w:rPr>
      </w:pPr>
    </w:p>
    <w:p>
      <w:pPr>
        <w:ind w:left="360"/>
        <w:spacing w:after="0"/>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w:t>
      </w:r>
    </w:p>
    <w:p>
      <w:pPr>
        <w:ind w:left="8940"/>
        <w:spacing w:after="0" w:line="196" w:lineRule="exact"/>
        <w:tabs>
          <w:tab w:leader="none" w:pos="9540" w:val="left"/>
        </w:tabs>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5"/>
          <w:szCs w:val="15"/>
          <w:color w:val="auto"/>
        </w:rPr>
        <w:t>No</w:t>
      </w:r>
    </w:p>
    <w:p>
      <w:pPr>
        <w:spacing w:after="0" w:line="86" w:lineRule="exact"/>
        <w:rPr>
          <w:rFonts w:ascii="Times New Roman" w:cs="Times New Roman" w:eastAsia="Times New Roman" w:hAnsi="Times New Roman"/>
          <w:sz w:val="15"/>
          <w:szCs w:val="15"/>
          <w:color w:val="auto"/>
        </w:rPr>
      </w:pPr>
    </w:p>
    <w:p>
      <w:pPr>
        <w:jc w:val="both"/>
        <w:ind w:right="360" w:firstLine="357"/>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3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200"/>
              <w:spacing w:after="0" w:line="229" w:lineRule="exact"/>
              <w:rPr>
                <w:sz w:val="20"/>
                <w:szCs w:val="20"/>
                <w:color w:val="auto"/>
              </w:rPr>
            </w:pPr>
            <w:r>
              <w:rPr>
                <w:rFonts w:ascii="MS PGothic" w:cs="MS PGothic" w:eastAsia="MS PGothic" w:hAnsi="MS PGothic"/>
                <w:sz w:val="28"/>
                <w:szCs w:val="28"/>
                <w:color w:val="auto"/>
                <w:vertAlign w:val="superscript"/>
              </w:rPr>
              <w:t>☐</w:t>
            </w:r>
          </w:p>
        </w:tc>
        <w:tc>
          <w:tcPr>
            <w:tcW w:w="5360" w:type="dxa"/>
            <w:vAlign w:val="bottom"/>
          </w:tcPr>
          <w:p>
            <w:pPr>
              <w:ind w:left="3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2"/>
        </w:trPr>
        <w:tc>
          <w:tcPr>
            <w:tcW w:w="16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360" w:type="dxa"/>
            <w:vAlign w:val="bottom"/>
          </w:tcPr>
          <w:p>
            <w:pPr>
              <w:ind w:left="3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260" w:firstLine="356"/>
        <w:spacing w:after="0" w:line="22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rFonts w:ascii="Times New Roman" w:cs="Times New Roman" w:eastAsia="Times New Roman" w:hAnsi="Times New Roman"/>
          <w:sz w:val="15"/>
          <w:szCs w:val="15"/>
          <w:color w:val="auto"/>
        </w:rPr>
      </w:pPr>
    </w:p>
    <w:p>
      <w:pPr>
        <w:ind w:right="240" w:firstLine="356"/>
        <w:spacing w:after="0" w:line="21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rFonts w:ascii="Times New Roman" w:cs="Times New Roman" w:eastAsia="Times New Roman" w:hAnsi="Times New Roman"/>
          <w:sz w:val="15"/>
          <w:szCs w:val="15"/>
          <w:color w:val="auto"/>
        </w:rPr>
      </w:pPr>
    </w:p>
    <w:p>
      <w:pPr>
        <w:ind w:right="240" w:firstLine="356"/>
        <w:spacing w:after="0" w:line="22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20" w:firstLine="357"/>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rFonts w:ascii="Times New Roman" w:cs="Times New Roman" w:eastAsia="Times New Roman" w:hAnsi="Times New Roman"/>
          <w:sz w:val="15"/>
          <w:szCs w:val="15"/>
          <w:color w:val="auto"/>
        </w:rPr>
      </w:pPr>
    </w:p>
    <w:p>
      <w:pPr>
        <w:ind w:left="360"/>
        <w:spacing w:after="0" w:line="184" w:lineRule="exact"/>
        <w:tabs>
          <w:tab w:leader="none" w:pos="7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136" w:lineRule="exact"/>
        <w:rPr>
          <w:rFonts w:ascii="Times New Roman" w:cs="Times New Roman" w:eastAsia="Times New Roman" w:hAnsi="Times New Roman"/>
          <w:sz w:val="15"/>
          <w:szCs w:val="15"/>
          <w:color w:val="auto"/>
        </w:rPr>
      </w:pPr>
    </w:p>
    <w:p>
      <w:pPr>
        <w:ind w:right="460" w:firstLine="356"/>
        <w:spacing w:after="0" w:line="273" w:lineRule="auto"/>
        <w:rPr>
          <w:sz w:val="20"/>
          <w:szCs w:val="20"/>
          <w:color w:val="auto"/>
        </w:rPr>
      </w:pPr>
      <w:r>
        <w:rPr>
          <w:rFonts w:ascii="Times New Roman" w:cs="Times New Roman" w:eastAsia="Times New Roman" w:hAnsi="Times New Roman"/>
          <w:sz w:val="16"/>
          <w:szCs w:val="16"/>
          <w:color w:val="auto"/>
        </w:rPr>
        <w:t>As of June 30, 2025, the aggregate market value of the voting and non-voting common equity held by non-affiliates of the registrant was approximately $1,604.7 million. The number of shares outstanding of the registrant’s class of common stock, as of February 2, 2026: 217,691,779</w:t>
      </w:r>
    </w:p>
    <w:p>
      <w:pPr>
        <w:spacing w:after="0" w:line="2"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78" w:lineRule="exact"/>
        <w:rPr>
          <w:rFonts w:ascii="Times New Roman" w:cs="Times New Roman" w:eastAsia="Times New Roman" w:hAnsi="Times New Roman"/>
          <w:sz w:val="15"/>
          <w:szCs w:val="15"/>
          <w:color w:val="auto"/>
        </w:rPr>
      </w:pPr>
    </w:p>
    <w:p>
      <w:pPr>
        <w:ind w:right="340" w:firstLine="356"/>
        <w:spacing w:after="0" w:line="309" w:lineRule="auto"/>
        <w:rPr>
          <w:sz w:val="20"/>
          <w:szCs w:val="20"/>
          <w:color w:val="auto"/>
        </w:rPr>
      </w:pPr>
      <w:r>
        <w:rPr>
          <w:rFonts w:ascii="Times New Roman" w:cs="Times New Roman" w:eastAsia="Times New Roman" w:hAnsi="Times New Roman"/>
          <w:sz w:val="15"/>
          <w:szCs w:val="15"/>
          <w:color w:val="auto"/>
        </w:rPr>
        <w:t>Part III of this Annual Report incorporates by reference information from the definitive Proxy Statement for the registrant’s 2026 Annual Meeting of Stockholders, which is expected to be filed with the Securities and Exchange Commission not later than 120 days after the registrant’s fiscal year ended December 31, 2025.</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139700</wp:posOffset>
                </wp:positionV>
                <wp:extent cx="704342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3420" cy="4763"/>
                        </a:xfrm>
                        <a:prstGeom prst="line">
                          <a:avLst/>
                        </a:prstGeom>
                        <a:solidFill>
                          <a:srgbClr val="FFFFFF"/>
                        </a:solidFill>
                        <a:ln w="603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11pt" to="553.3pt,11pt" o:allowincell="f" strokecolor="#000000" strokeweight="0.4752pt"/>
            </w:pict>
          </mc:Fallback>
        </mc:AlternateContent>
        <mc:AlternateContent>
          <mc:Choice Requires="wps">
            <w:drawing>
              <wp:anchor simplePos="0" relativeHeight="251657728" behindDoc="1" locked="0" layoutInCell="0" allowOverlap="1">
                <wp:simplePos x="0" y="0"/>
                <wp:positionH relativeFrom="column">
                  <wp:posOffset>-16510</wp:posOffset>
                </wp:positionH>
                <wp:positionV relativeFrom="paragraph">
                  <wp:posOffset>200660</wp:posOffset>
                </wp:positionV>
                <wp:extent cx="70434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3420" cy="4763"/>
                        </a:xfrm>
                        <a:prstGeom prst="line">
                          <a:avLst/>
                        </a:prstGeom>
                        <a:solidFill>
                          <a:srgbClr val="FFFFFF"/>
                        </a:solidFill>
                        <a:ln w="37719">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15.8pt" to="553.3pt,15.8pt" o:allowincell="f" strokecolor="#000000" strokeweight="2.97pt"/>
            </w:pict>
          </mc:Fallback>
        </mc:AlternateContent>
      </w:r>
    </w:p>
    <w:p>
      <w:pPr>
        <w:sectPr>
          <w:pgSz w:w="11880" w:h="15480" w:orient="portrait"/>
          <w:cols w:equalWidth="0" w:num="1">
            <w:col w:w="11040"/>
          </w:cols>
          <w:pgMar w:left="420" w:top="1195" w:right="420" w:bottom="815" w:gutter="0" w:footer="0" w:header="0"/>
        </w:sectPr>
      </w:pPr>
    </w:p>
    <w:bookmarkStart w:id="1" w:name="page2"/>
    <w:bookmarkEnd w:id="1"/>
    <w:p>
      <w:pPr>
        <w:ind w:left="39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 w:lineRule="exact"/>
        <w:rPr>
          <w:sz w:val="20"/>
          <w:szCs w:val="20"/>
          <w:color w:val="auto"/>
        </w:rPr>
      </w:pPr>
    </w:p>
    <w:p>
      <w:pPr>
        <w:spacing w:after="0"/>
        <w:tabs>
          <w:tab w:leader="none" w:pos="820" w:val="left"/>
          <w:tab w:leader="none" w:pos="9600" w:val="left"/>
        </w:tabs>
        <w:rPr>
          <w:sz w:val="20"/>
          <w:szCs w:val="20"/>
          <w:color w:val="auto"/>
        </w:rPr>
      </w:pPr>
      <w:r>
        <w:rPr>
          <w:rFonts w:ascii="Times New Roman" w:cs="Times New Roman" w:eastAsia="Times New Roman" w:hAnsi="Times New Roman"/>
          <w:sz w:val="20"/>
          <w:szCs w:val="20"/>
          <w:color w:val="auto"/>
        </w:rPr>
        <w:t>Item 1.</w:t>
        <w:tab/>
        <w:t>Business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1A. Risk Factors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62</w:t>
      </w: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1B.  Unresolved Staff Comments . . . . . . . . . . . . . . . . . . . . . . . . . . . . . . . . . . . . . . . . . . . . . . . . . . . . . . . . . .</w:t>
      </w:r>
      <w:r>
        <w:rPr>
          <w:sz w:val="20"/>
          <w:szCs w:val="20"/>
          <w:color w:val="auto"/>
        </w:rPr>
        <w:tab/>
      </w:r>
      <w:r>
        <w:rPr>
          <w:rFonts w:ascii="Times New Roman" w:cs="Times New Roman" w:eastAsia="Times New Roman" w:hAnsi="Times New Roman"/>
          <w:sz w:val="20"/>
          <w:szCs w:val="20"/>
          <w:color w:val="auto"/>
        </w:rPr>
        <w:t>111</w:t>
      </w: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1C.  Cybersecurity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111</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2.</w:t>
        <w:tab/>
        <w:t>Properties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112</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3.</w:t>
        <w:tab/>
        <w:t>Legal Proceedings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112</w:t>
      </w:r>
    </w:p>
    <w:p>
      <w:pPr>
        <w:spacing w:after="0" w:line="237" w:lineRule="auto"/>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4.</w:t>
        <w:tab/>
        <w:t>Mine Safety Disclosures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112</w:t>
      </w:r>
    </w:p>
    <w:p>
      <w:pPr>
        <w:ind w:left="44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 Matters and Issuer Purchases of</w:t>
      </w:r>
    </w:p>
    <w:p>
      <w:pPr>
        <w:jc w:val="right"/>
        <w:spacing w:after="0"/>
        <w:tabs>
          <w:tab w:leader="none" w:pos="280" w:val="left"/>
        </w:tabs>
        <w:rPr>
          <w:sz w:val="20"/>
          <w:szCs w:val="20"/>
          <w:color w:val="auto"/>
        </w:rPr>
      </w:pPr>
      <w:r>
        <w:rPr>
          <w:rFonts w:ascii="Times New Roman" w:cs="Times New Roman" w:eastAsia="Times New Roman" w:hAnsi="Times New Roman"/>
          <w:sz w:val="20"/>
          <w:szCs w:val="20"/>
          <w:color w:val="auto"/>
        </w:rPr>
        <w:t>Equity Securities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113</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6.</w:t>
        <w:tab/>
        <w:t>[Reserved]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114</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 . . . . . . .</w:t>
      </w:r>
      <w:r>
        <w:rPr>
          <w:sz w:val="20"/>
          <w:szCs w:val="20"/>
          <w:color w:val="auto"/>
        </w:rPr>
        <w:tab/>
      </w:r>
      <w:r>
        <w:rPr>
          <w:rFonts w:ascii="Times New Roman" w:cs="Times New Roman" w:eastAsia="Times New Roman" w:hAnsi="Times New Roman"/>
          <w:sz w:val="20"/>
          <w:szCs w:val="20"/>
          <w:color w:val="auto"/>
        </w:rPr>
        <w:t>114</w:t>
      </w: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 . . . . . . . . . . . . . . . . . . . . . . . . . . . . . . .</w:t>
      </w:r>
      <w:r>
        <w:rPr>
          <w:sz w:val="20"/>
          <w:szCs w:val="20"/>
          <w:color w:val="auto"/>
        </w:rPr>
        <w:tab/>
      </w:r>
      <w:r>
        <w:rPr>
          <w:rFonts w:ascii="Times New Roman" w:cs="Times New Roman" w:eastAsia="Times New Roman" w:hAnsi="Times New Roman"/>
          <w:sz w:val="20"/>
          <w:szCs w:val="20"/>
          <w:color w:val="auto"/>
        </w:rPr>
        <w:t>131</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 . . . . . . . . . . . . . . . . . . . . . . . . . . . . . . . . . . . . . . . . . . .</w:t>
      </w:r>
      <w:r>
        <w:rPr>
          <w:sz w:val="20"/>
          <w:szCs w:val="20"/>
          <w:color w:val="auto"/>
        </w:rPr>
        <w:tab/>
      </w:r>
      <w:r>
        <w:rPr>
          <w:rFonts w:ascii="Times New Roman" w:cs="Times New Roman" w:eastAsia="Times New Roman" w:hAnsi="Times New Roman"/>
          <w:sz w:val="20"/>
          <w:szCs w:val="20"/>
          <w:color w:val="auto"/>
        </w:rPr>
        <w:t>131</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 . . . . . . .</w:t>
      </w:r>
      <w:r>
        <w:rPr>
          <w:sz w:val="20"/>
          <w:szCs w:val="20"/>
          <w:color w:val="auto"/>
        </w:rPr>
        <w:tab/>
      </w:r>
      <w:r>
        <w:rPr>
          <w:rFonts w:ascii="Times New Roman" w:cs="Times New Roman" w:eastAsia="Times New Roman" w:hAnsi="Times New Roman"/>
          <w:sz w:val="20"/>
          <w:szCs w:val="20"/>
          <w:color w:val="auto"/>
        </w:rPr>
        <w:t>131</w:t>
      </w: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9A. Controls and Procedures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132</w:t>
      </w: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9B.  Other Information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133</w:t>
      </w:r>
    </w:p>
    <w:p>
      <w:pPr>
        <w:spacing w:after="0" w:line="237" w:lineRule="auto"/>
        <w:tabs>
          <w:tab w:leader="none" w:pos="940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 . . . . . . . . . . . . . . . . . . . . . . . . .</w:t>
      </w:r>
      <w:r>
        <w:rPr>
          <w:sz w:val="20"/>
          <w:szCs w:val="20"/>
          <w:color w:val="auto"/>
        </w:rPr>
        <w:tab/>
      </w:r>
      <w:r>
        <w:rPr>
          <w:rFonts w:ascii="Times New Roman" w:cs="Times New Roman" w:eastAsia="Times New Roman" w:hAnsi="Times New Roman"/>
          <w:sz w:val="20"/>
          <w:szCs w:val="20"/>
          <w:color w:val="auto"/>
        </w:rPr>
        <w:t>133</w:t>
      </w:r>
    </w:p>
    <w:p>
      <w:pPr>
        <w:ind w:left="43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 w:lineRule="exact"/>
        <w:rPr>
          <w:sz w:val="20"/>
          <w:szCs w:val="20"/>
          <w:color w:val="auto"/>
        </w:rPr>
      </w:pP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 . . . . . . . .</w:t>
      </w:r>
      <w:r>
        <w:rPr>
          <w:sz w:val="20"/>
          <w:szCs w:val="20"/>
          <w:color w:val="auto"/>
        </w:rPr>
        <w:tab/>
      </w:r>
      <w:r>
        <w:rPr>
          <w:rFonts w:ascii="Times New Roman" w:cs="Times New Roman" w:eastAsia="Times New Roman" w:hAnsi="Times New Roman"/>
          <w:sz w:val="20"/>
          <w:szCs w:val="20"/>
          <w:color w:val="auto"/>
        </w:rPr>
        <w:t>134</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w:t>
      </w:r>
    </w:p>
    <w:p>
      <w:pPr>
        <w:jc w:val="right"/>
        <w:spacing w:after="0"/>
        <w:tabs>
          <w:tab w:leader="none" w:pos="280" w:val="left"/>
        </w:tabs>
        <w:rPr>
          <w:sz w:val="20"/>
          <w:szCs w:val="20"/>
          <w:color w:val="auto"/>
        </w:rPr>
      </w:pPr>
      <w:r>
        <w:rPr>
          <w:rFonts w:ascii="Times New Roman" w:cs="Times New Roman" w:eastAsia="Times New Roman" w:hAnsi="Times New Roman"/>
          <w:sz w:val="20"/>
          <w:szCs w:val="20"/>
          <w:color w:val="auto"/>
        </w:rPr>
        <w:t>Matters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 . . . . . . .</w:t>
      </w:r>
      <w:r>
        <w:rPr>
          <w:sz w:val="20"/>
          <w:szCs w:val="20"/>
          <w:color w:val="auto"/>
        </w:rPr>
        <w:tab/>
      </w:r>
      <w:r>
        <w:rPr>
          <w:rFonts w:ascii="Times New Roman" w:cs="Times New Roman" w:eastAsia="Times New Roman" w:hAnsi="Times New Roman"/>
          <w:sz w:val="20"/>
          <w:szCs w:val="20"/>
          <w:color w:val="auto"/>
        </w:rPr>
        <w:t>135</w:t>
      </w:r>
    </w:p>
    <w:p>
      <w:pPr>
        <w:spacing w:after="0" w:line="237" w:lineRule="auto"/>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14.</w:t>
        <w:tab/>
        <w:t>Principal Accountant Fees and Services . . . . . . . . . . . . . . . . .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 w:lineRule="exact"/>
        <w:rPr>
          <w:sz w:val="20"/>
          <w:szCs w:val="20"/>
          <w:color w:val="auto"/>
        </w:rPr>
      </w:pP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 . . .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tabs>
          <w:tab w:leader="none" w:pos="820" w:val="left"/>
          <w:tab w:leader="none" w:pos="940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ectPr>
          <w:pgSz w:w="11880" w:h="15480" w:orient="portrait"/>
          <w:cols w:equalWidth="0" w:num="1">
            <w:col w:w="9720"/>
          </w:cols>
          <w:pgMar w:left="1080" w:top="1061" w:right="1080" w:bottom="1440" w:gutter="0" w:footer="0" w:header="0"/>
        </w:sectPr>
      </w:pPr>
    </w:p>
    <w:bookmarkStart w:id="2" w:name="page3"/>
    <w:bookmarkEnd w:id="2"/>
    <w:p>
      <w:pPr>
        <w:ind w:left="3200"/>
        <w:spacing w:after="0"/>
        <w:rPr>
          <w:sz w:val="20"/>
          <w:szCs w:val="20"/>
          <w:color w:val="auto"/>
        </w:rPr>
      </w:pPr>
      <w:r>
        <w:rPr>
          <w:rFonts w:ascii="Times New Roman" w:cs="Times New Roman" w:eastAsia="Times New Roman" w:hAnsi="Times New Roman"/>
          <w:sz w:val="20"/>
          <w:szCs w:val="20"/>
          <w:color w:val="auto"/>
        </w:rPr>
        <w:t>FORWARD-LOOKING STATEMENTS</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This Annual Report on Form 10-K contains forward-looking statements that involve substantial risks and</w:t>
      </w:r>
    </w:p>
    <w:p>
      <w:pPr>
        <w:ind w:right="60"/>
        <w:spacing w:after="0" w:line="248" w:lineRule="auto"/>
        <w:rPr>
          <w:sz w:val="20"/>
          <w:szCs w:val="20"/>
          <w:color w:val="auto"/>
        </w:rPr>
      </w:pPr>
      <w:r>
        <w:rPr>
          <w:rFonts w:ascii="Times New Roman" w:cs="Times New Roman" w:eastAsia="Times New Roman" w:hAnsi="Times New Roman"/>
          <w:sz w:val="20"/>
          <w:szCs w:val="20"/>
          <w:color w:val="auto"/>
        </w:rPr>
        <w:t>uncertainties. All statements, other than statements of historical facts, contained in this Annual Report on Form 10 -K, including statements regarding our strategy, future operations, future financial position, future revenues, projected costs, prospects, plans and objectives of management, are forward-looking statements. The words “anticipate”, “believe”, “estimate”, “expect”, “intend”, “designed”, “may”, “might”, “plan”, “predict”, “project”, “target”, “potential”, “goal”, “will”, “would”, “could”, “should”, “continue” and similar expressions are intended to identify forward-looking statements, although not all forward-looking statements contain these identifying words.</w:t>
      </w:r>
    </w:p>
    <w:p>
      <w:pPr>
        <w:spacing w:after="0" w:line="174" w:lineRule="exact"/>
        <w:rPr>
          <w:sz w:val="20"/>
          <w:szCs w:val="20"/>
          <w:color w:val="auto"/>
        </w:rPr>
      </w:pPr>
    </w:p>
    <w:p>
      <w:pPr>
        <w:ind w:right="440" w:firstLine="489"/>
        <w:spacing w:after="0" w:line="280" w:lineRule="auto"/>
        <w:rPr>
          <w:sz w:val="20"/>
          <w:szCs w:val="20"/>
          <w:color w:val="auto"/>
        </w:rPr>
      </w:pPr>
      <w:r>
        <w:rPr>
          <w:rFonts w:ascii="Times New Roman" w:cs="Times New Roman" w:eastAsia="Times New Roman" w:hAnsi="Times New Roman"/>
          <w:sz w:val="20"/>
          <w:szCs w:val="20"/>
          <w:color w:val="auto"/>
        </w:rPr>
        <w:t>The forward-looking statements in this Annual Report on Form 10-K include, among other things, statements about:</w:t>
      </w:r>
    </w:p>
    <w:p>
      <w:pPr>
        <w:spacing w:after="0" w:line="158" w:lineRule="exact"/>
        <w:rPr>
          <w:sz w:val="20"/>
          <w:szCs w:val="20"/>
          <w:color w:val="auto"/>
        </w:rPr>
      </w:pPr>
    </w:p>
    <w:p>
      <w:pPr>
        <w:ind w:left="860" w:hanging="363"/>
        <w:spacing w:after="0" w:line="253"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our ongoing clinical trials, including our two Phase 3 clinical trials of AXPAXLI for the treatment of wet age-related macular degeneration, or wet AMD, which we refer to as the SOL-1 and SOL-R trials, and our Phase 3 clinical trial of AXPAXLI for the treatment of non-proliferative diabetic retinopathy, or NPDR, which we refer to as the HELIOS-3 trial;</w:t>
      </w:r>
    </w:p>
    <w:p>
      <w:pPr>
        <w:spacing w:after="0" w:line="183" w:lineRule="exact"/>
        <w:rPr>
          <w:rFonts w:ascii="Arial" w:cs="Arial" w:eastAsia="Arial" w:hAnsi="Arial"/>
          <w:sz w:val="20"/>
          <w:szCs w:val="20"/>
          <w:color w:val="auto"/>
        </w:rPr>
      </w:pPr>
    </w:p>
    <w:p>
      <w:pPr>
        <w:ind w:left="860" w:right="80" w:hanging="363"/>
        <w:spacing w:after="0" w:line="249"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any additional clinical trials we might determine in the future to conduct for AXPAXLI or any other product candidate we determine to develop, including our planned long-term extension study of AXPAXLI for the treatment of wet AMD, which we refer to as the SOL-X trial, a second Phase 3 clinical trial of AXPAXLI for the treatment of NPDR, which we refer to as the HELIOS-2 trial, and any other clinical trials we might conduct for AXPAXLI;</w:t>
      </w:r>
    </w:p>
    <w:p>
      <w:pPr>
        <w:spacing w:after="0" w:line="189" w:lineRule="exact"/>
        <w:rPr>
          <w:rFonts w:ascii="Arial" w:cs="Arial" w:eastAsia="Arial" w:hAnsi="Arial"/>
          <w:sz w:val="20"/>
          <w:szCs w:val="20"/>
          <w:color w:val="auto"/>
        </w:rPr>
      </w:pPr>
    </w:p>
    <w:p>
      <w:pPr>
        <w:ind w:left="860" w:right="180" w:hanging="363"/>
        <w:spacing w:after="0" w:line="279"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determining our next steps for our product candidate OTX-TIC for the treatment of patients with open-angle glaucoma, or OAG, or ocular hypertension, or OHT;</w:t>
      </w:r>
    </w:p>
    <w:p>
      <w:pPr>
        <w:spacing w:after="0" w:line="159" w:lineRule="exact"/>
        <w:rPr>
          <w:rFonts w:ascii="Arial" w:cs="Arial" w:eastAsia="Arial" w:hAnsi="Arial"/>
          <w:sz w:val="20"/>
          <w:szCs w:val="20"/>
          <w:color w:val="auto"/>
        </w:rPr>
      </w:pPr>
    </w:p>
    <w:p>
      <w:pPr>
        <w:ind w:left="860" w:right="540" w:hanging="363"/>
        <w:spacing w:after="0" w:line="259"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and strategies to develop and potentially seek regulatory approval for and commercialize AXPAXLI, OTX-TIC and any other product candidates that we might develop based on our proprietary bioresorbable hydrogel-based formulation technology ELUTYX;</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our commercialization, marketing and manufacturing plans, capabilities and strategy;</w:t>
      </w:r>
    </w:p>
    <w:p>
      <w:pPr>
        <w:spacing w:after="0" w:line="233" w:lineRule="exact"/>
        <w:rPr>
          <w:rFonts w:ascii="Arial" w:cs="Arial" w:eastAsia="Arial" w:hAnsi="Arial"/>
          <w:sz w:val="20"/>
          <w:szCs w:val="20"/>
          <w:color w:val="auto"/>
        </w:rPr>
      </w:pPr>
    </w:p>
    <w:p>
      <w:pPr>
        <w:ind w:left="860" w:hanging="363"/>
        <w:spacing w:after="0"/>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our commercialization efforts for our product DEXTENZA;</w:t>
      </w:r>
    </w:p>
    <w:p>
      <w:pPr>
        <w:spacing w:after="0" w:line="233" w:lineRule="exact"/>
        <w:rPr>
          <w:rFonts w:ascii="Arial" w:cs="Arial" w:eastAsia="Arial" w:hAnsi="Arial"/>
          <w:sz w:val="20"/>
          <w:szCs w:val="20"/>
          <w:color w:val="auto"/>
        </w:rPr>
      </w:pPr>
    </w:p>
    <w:p>
      <w:pPr>
        <w:ind w:left="860" w:right="140" w:hanging="363"/>
        <w:spacing w:after="0" w:line="259"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manufacture DEXTENZA and any of our product candidates, including AXPAXLI, in compliance with Current Good Manufacturing Practices and in sufficient quantities for our clinical trials and commercial use;</w:t>
      </w:r>
    </w:p>
    <w:p>
      <w:pPr>
        <w:spacing w:after="0" w:line="178" w:lineRule="exact"/>
        <w:rPr>
          <w:rFonts w:ascii="Arial" w:cs="Arial" w:eastAsia="Arial" w:hAnsi="Arial"/>
          <w:sz w:val="20"/>
          <w:szCs w:val="20"/>
          <w:color w:val="auto"/>
        </w:rPr>
      </w:pPr>
    </w:p>
    <w:p>
      <w:pPr>
        <w:ind w:left="860" w:right="820" w:hanging="363"/>
        <w:spacing w:after="0" w:line="279"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and our ability to submit applications and obtain and maintain regulatory approvals for DEXTENZA and any of our product candidates, including AXPAXLI;</w:t>
      </w:r>
    </w:p>
    <w:p>
      <w:pPr>
        <w:spacing w:after="0" w:line="159" w:lineRule="exact"/>
        <w:rPr>
          <w:rFonts w:ascii="Arial" w:cs="Arial" w:eastAsia="Arial" w:hAnsi="Arial"/>
          <w:sz w:val="20"/>
          <w:szCs w:val="20"/>
          <w:color w:val="auto"/>
        </w:rPr>
      </w:pPr>
    </w:p>
    <w:p>
      <w:pPr>
        <w:ind w:left="860" w:right="20" w:hanging="363"/>
        <w:spacing w:after="0" w:line="259"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regarding future revenue; expenses; the sufficiency of our cash resources; our ability to fund our operating expenses, debt service obligations and capital expenditure requirements; and our needs for additional financing;</w:t>
      </w:r>
    </w:p>
    <w:p>
      <w:pPr>
        <w:spacing w:after="0" w:line="178" w:lineRule="exact"/>
        <w:rPr>
          <w:rFonts w:ascii="Arial" w:cs="Arial" w:eastAsia="Arial" w:hAnsi="Arial"/>
          <w:sz w:val="20"/>
          <w:szCs w:val="20"/>
          <w:color w:val="auto"/>
        </w:rPr>
      </w:pPr>
    </w:p>
    <w:p>
      <w:pPr>
        <w:ind w:left="860" w:right="100" w:hanging="363"/>
        <w:spacing w:after="0" w:line="260"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us to raise additional capital, including through equity offerings, debt financings, collaborations, strategic alliances, licensing arrangements, royalty agreements and marketing and distribution arrangements;</w:t>
      </w:r>
    </w:p>
    <w:p>
      <w:pPr>
        <w:spacing w:after="0" w:line="176" w:lineRule="exact"/>
        <w:rPr>
          <w:rFonts w:ascii="Arial" w:cs="Arial" w:eastAsia="Arial" w:hAnsi="Arial"/>
          <w:sz w:val="20"/>
          <w:szCs w:val="20"/>
          <w:color w:val="auto"/>
        </w:rPr>
      </w:pPr>
    </w:p>
    <w:p>
      <w:pPr>
        <w:ind w:left="860" w:hanging="363"/>
        <w:spacing w:after="0"/>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advantages of AXPAXLI and any of our other product candidates as well as DEXTENZA;</w:t>
      </w:r>
    </w:p>
    <w:p>
      <w:pPr>
        <w:spacing w:after="0" w:line="232" w:lineRule="exact"/>
        <w:rPr>
          <w:rFonts w:ascii="Arial" w:cs="Arial" w:eastAsia="Arial" w:hAnsi="Arial"/>
          <w:sz w:val="20"/>
          <w:szCs w:val="20"/>
          <w:color w:val="auto"/>
        </w:rPr>
      </w:pPr>
    </w:p>
    <w:p>
      <w:pPr>
        <w:ind w:left="860" w:hanging="363"/>
        <w:spacing w:after="0"/>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the rate and degree of market acceptance and clinical utility of our products;</w:t>
      </w:r>
    </w:p>
    <w:p>
      <w:pPr>
        <w:spacing w:after="0" w:line="233" w:lineRule="exact"/>
        <w:rPr>
          <w:rFonts w:ascii="Arial" w:cs="Arial" w:eastAsia="Arial" w:hAnsi="Arial"/>
          <w:sz w:val="20"/>
          <w:szCs w:val="20"/>
          <w:color w:val="auto"/>
        </w:rPr>
      </w:pPr>
    </w:p>
    <w:p>
      <w:pPr>
        <w:ind w:left="860" w:right="440" w:hanging="363"/>
        <w:spacing w:after="0" w:line="279" w:lineRule="auto"/>
        <w:tabs>
          <w:tab w:leader="none" w:pos="8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secure and maintain reimbursement for our products as well as the associated procedures to insert, implant or inject our products;</w:t>
      </w:r>
    </w:p>
    <w:p>
      <w:pPr>
        <w:sectPr>
          <w:pgSz w:w="11880" w:h="15480" w:orient="portrait"/>
          <w:cols w:equalWidth="0" w:num="1">
            <w:col w:w="9700"/>
          </w:cols>
          <w:pgMar w:left="1080" w:top="106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700"/>
          </w:cols>
          <w:pgMar w:left="1080" w:top="1066" w:right="1100" w:bottom="0" w:gutter="0" w:footer="0" w:header="0"/>
          <w:type w:val="continuous"/>
        </w:sectPr>
      </w:pPr>
    </w:p>
    <w:bookmarkStart w:id="3" w:name="page4"/>
    <w:bookmarkEnd w:id="3"/>
    <w:p>
      <w:pPr>
        <w:ind w:left="500" w:right="40" w:hanging="363"/>
        <w:spacing w:after="0" w:line="279"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regarding the market opportunity for AXPAXLI and any of our other product candidates as well as DEXTENZA;</w:t>
      </w:r>
    </w:p>
    <w:p>
      <w:pPr>
        <w:spacing w:after="0" w:line="159" w:lineRule="exact"/>
        <w:rPr>
          <w:rFonts w:ascii="Arial" w:cs="Arial" w:eastAsia="Arial" w:hAnsi="Arial"/>
          <w:sz w:val="20"/>
          <w:szCs w:val="20"/>
          <w:color w:val="auto"/>
        </w:rPr>
      </w:pPr>
    </w:p>
    <w:p>
      <w:pPr>
        <w:ind w:left="500" w:right="460" w:hanging="363"/>
        <w:spacing w:after="0" w:line="253"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license agreement and collaboration with AffaMed Therapeutics Limited under which we are collaborating on the development and commercialization of DEXTENZA and our product candidate OTX-TIC in mainland China, Taiwan, Hong Kong, Macau, South Korea, and the countries of the Association of Southeast Asian Nations;</w:t>
      </w:r>
    </w:p>
    <w:p>
      <w:pPr>
        <w:spacing w:after="0" w:line="183" w:lineRule="exact"/>
        <w:rPr>
          <w:rFonts w:ascii="Arial" w:cs="Arial" w:eastAsia="Arial" w:hAnsi="Arial"/>
          <w:sz w:val="20"/>
          <w:szCs w:val="20"/>
          <w:color w:val="auto"/>
        </w:rPr>
      </w:pPr>
    </w:p>
    <w:p>
      <w:pPr>
        <w:ind w:left="500" w:right="220" w:hanging="363"/>
        <w:spacing w:after="0" w:line="260"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capabilities and strategy, and the costs and timing of manufacturing, sales, marketing, distribution and other commercialization efforts with respect to DEXTENZA and any additional products for which we may obtain marketing approval in the future, including AXPAXLI;</w:t>
      </w:r>
    </w:p>
    <w:p>
      <w:pPr>
        <w:spacing w:after="0" w:line="176" w:lineRule="exact"/>
        <w:rPr>
          <w:rFonts w:ascii="Arial" w:cs="Arial" w:eastAsia="Arial" w:hAnsi="Arial"/>
          <w:sz w:val="20"/>
          <w:szCs w:val="20"/>
          <w:color w:val="auto"/>
        </w:rPr>
      </w:pPr>
    </w:p>
    <w:p>
      <w:pPr>
        <w:ind w:left="500" w:hanging="363"/>
        <w:spacing w:after="0"/>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intellectual property position;</w:t>
      </w:r>
    </w:p>
    <w:p>
      <w:pPr>
        <w:spacing w:after="0" w:line="233" w:lineRule="exact"/>
        <w:rPr>
          <w:rFonts w:ascii="Arial" w:cs="Arial" w:eastAsia="Arial" w:hAnsi="Arial"/>
          <w:sz w:val="20"/>
          <w:szCs w:val="20"/>
          <w:color w:val="auto"/>
        </w:rPr>
      </w:pPr>
    </w:p>
    <w:p>
      <w:pPr>
        <w:ind w:left="500" w:hanging="363"/>
        <w:spacing w:after="0"/>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government laws and regulations; and</w:t>
      </w:r>
    </w:p>
    <w:p>
      <w:pPr>
        <w:spacing w:after="0" w:line="232" w:lineRule="exact"/>
        <w:rPr>
          <w:rFonts w:ascii="Arial" w:cs="Arial" w:eastAsia="Arial" w:hAnsi="Arial"/>
          <w:sz w:val="20"/>
          <w:szCs w:val="20"/>
          <w:color w:val="auto"/>
        </w:rPr>
      </w:pPr>
    </w:p>
    <w:p>
      <w:pPr>
        <w:ind w:left="500" w:hanging="363"/>
        <w:spacing w:after="0"/>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competitive position.</w:t>
      </w:r>
    </w:p>
    <w:p>
      <w:pPr>
        <w:spacing w:after="0" w:line="233" w:lineRule="exact"/>
        <w:rPr>
          <w:rFonts w:ascii="Arial" w:cs="Arial" w:eastAsia="Arial" w:hAnsi="Arial"/>
          <w:sz w:val="20"/>
          <w:szCs w:val="20"/>
          <w:color w:val="auto"/>
        </w:rPr>
      </w:pPr>
    </w:p>
    <w:p>
      <w:pPr>
        <w:ind w:left="500" w:hanging="363"/>
        <w:spacing w:after="0" w:line="245"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captioned “Risk Factors”, that could cause actual results or events to differ materially from the forward-looking statements that we make. Our forward-looking statements do not reflect the potential impact of any future acquisitions, mergers, dispositions, joint ventures, licensing agreements or investments we may make.</w:t>
      </w:r>
    </w:p>
    <w:p>
      <w:pPr>
        <w:spacing w:after="0" w:line="196" w:lineRule="exact"/>
        <w:rPr>
          <w:rFonts w:ascii="Arial" w:cs="Arial" w:eastAsia="Arial" w:hAnsi="Arial"/>
          <w:sz w:val="20"/>
          <w:szCs w:val="20"/>
          <w:color w:val="auto"/>
        </w:rPr>
      </w:pPr>
    </w:p>
    <w:p>
      <w:pPr>
        <w:ind w:left="500" w:right="20" w:hanging="363"/>
        <w:spacing w:after="0" w:line="247"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included in this Annual Report on Form 10-K are made as of the date of this Annual Report on Form 10-K. We do not assume, and we expressly disclaim, any obligation or undertaking to update any forward-looking statements, whether as a result of new information, future events or otherwise, except as required by applicable law.</w:t>
      </w:r>
    </w:p>
    <w:p>
      <w:pPr>
        <w:spacing w:after="0" w:line="193" w:lineRule="exact"/>
        <w:rPr>
          <w:rFonts w:ascii="Arial" w:cs="Arial" w:eastAsia="Arial" w:hAnsi="Arial"/>
          <w:sz w:val="20"/>
          <w:szCs w:val="20"/>
          <w:color w:val="auto"/>
        </w:rPr>
      </w:pPr>
    </w:p>
    <w:p>
      <w:pPr>
        <w:ind w:left="500" w:right="20" w:hanging="363"/>
        <w:spacing w:after="0" w:line="246"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This Annual Report on Form 10-K includes statistical and other industry and market data that we obtained from industry publications and research, surveys and studies conducted by third parties. All of the market data used in this Annual Report on Form 10-K involves a number of assumptions and limitations, and you are cautioned not to give undue weight to such data. While we believe that the information from these industry publications, surveys and studies is reliable, we have not independently verified such data. The industry in which we operate is subject to a high degree of uncertainty and risk due to a variety of important factors, including those described in the section titled “Risk Factors”.</w:t>
      </w:r>
    </w:p>
    <w:p>
      <w:pPr>
        <w:spacing w:after="0" w:line="193" w:lineRule="exact"/>
        <w:rPr>
          <w:rFonts w:ascii="Arial" w:cs="Arial" w:eastAsia="Arial" w:hAnsi="Arial"/>
          <w:sz w:val="20"/>
          <w:szCs w:val="20"/>
          <w:color w:val="auto"/>
        </w:rPr>
      </w:pPr>
    </w:p>
    <w:p>
      <w:pPr>
        <w:ind w:left="500" w:right="80" w:hanging="363"/>
        <w:spacing w:after="0" w:line="244"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This Annual Report on Form 10-K contains references to our trademarks and service marks and to those belonging to other entities. Solely for convenience, trademarks and trade names referred to in this Annual Report on Form 10-K and the documents incorporated by reference herein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AXPAXLI is a trade name which we use to refer to our OTX-TKI product candidate. The U.S. Food and Drug Administration, or FDA, has not approved AXPAXLI as a product name.</w:t>
      </w:r>
    </w:p>
    <w:p>
      <w:pPr>
        <w:spacing w:after="0" w:line="199" w:lineRule="exact"/>
        <w:rPr>
          <w:rFonts w:ascii="Arial" w:cs="Arial" w:eastAsia="Arial" w:hAnsi="Arial"/>
          <w:sz w:val="20"/>
          <w:szCs w:val="20"/>
          <w:color w:val="auto"/>
        </w:rPr>
      </w:pPr>
    </w:p>
    <w:p>
      <w:pPr>
        <w:ind w:left="500" w:hanging="363"/>
        <w:spacing w:after="0"/>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Summary of Risks Related to our Business</w:t>
      </w:r>
    </w:p>
    <w:p>
      <w:pPr>
        <w:spacing w:after="0" w:line="233" w:lineRule="exact"/>
        <w:rPr>
          <w:rFonts w:ascii="Arial" w:cs="Arial" w:eastAsia="Arial" w:hAnsi="Arial"/>
          <w:sz w:val="20"/>
          <w:szCs w:val="20"/>
          <w:color w:val="auto"/>
        </w:rPr>
      </w:pPr>
    </w:p>
    <w:p>
      <w:pPr>
        <w:ind w:left="500" w:right="180" w:hanging="363"/>
        <w:spacing w:after="0" w:line="278" w:lineRule="auto"/>
        <w:tabs>
          <w:tab w:leader="none" w:pos="5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financial condition, results of operations, future growth prospects and common stock price are subject to numerous risks and uncertainties that you should be aware of before making an investment</w:t>
      </w:r>
    </w:p>
    <w:p>
      <w:pPr>
        <w:sectPr>
          <w:pgSz w:w="11880" w:h="15480" w:orient="portrait"/>
          <w:cols w:equalWidth="0" w:num="1">
            <w:col w:w="9340"/>
          </w:cols>
          <w:pgMar w:left="1440" w:top="107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340"/>
          </w:cols>
          <w:pgMar w:left="1440" w:top="1079" w:right="1100" w:bottom="0" w:gutter="0" w:footer="0" w:header="0"/>
          <w:type w:val="continuous"/>
        </w:sectPr>
      </w:pPr>
    </w:p>
    <w:bookmarkStart w:id="4" w:name="page5"/>
    <w:bookmarkEnd w:id="4"/>
    <w:p>
      <w:pPr>
        <w:ind w:left="500"/>
        <w:spacing w:after="0"/>
        <w:rPr>
          <w:sz w:val="20"/>
          <w:szCs w:val="20"/>
          <w:color w:val="auto"/>
        </w:rPr>
      </w:pPr>
      <w:r>
        <w:rPr>
          <w:rFonts w:ascii="Times New Roman" w:cs="Times New Roman" w:eastAsia="Times New Roman" w:hAnsi="Times New Roman"/>
          <w:sz w:val="20"/>
          <w:szCs w:val="20"/>
          <w:color w:val="auto"/>
        </w:rPr>
        <w:t>decision, as more fully described under the heading “Risk Factors” and elsewhere in this Annual Report on</w:t>
      </w:r>
    </w:p>
    <w:p>
      <w:pPr>
        <w:ind w:left="500"/>
        <w:spacing w:after="0"/>
        <w:rPr>
          <w:sz w:val="20"/>
          <w:szCs w:val="20"/>
          <w:color w:val="auto"/>
        </w:rPr>
      </w:pPr>
      <w:r>
        <w:rPr>
          <w:rFonts w:ascii="Times New Roman" w:cs="Times New Roman" w:eastAsia="Times New Roman" w:hAnsi="Times New Roman"/>
          <w:sz w:val="20"/>
          <w:szCs w:val="20"/>
          <w:color w:val="auto"/>
        </w:rPr>
        <w:t>Form 10-K. These risks include, but are not limited to, the following:</w:t>
      </w:r>
    </w:p>
    <w:p>
      <w:pPr>
        <w:spacing w:after="0" w:line="234" w:lineRule="exact"/>
        <w:rPr>
          <w:sz w:val="20"/>
          <w:szCs w:val="20"/>
          <w:color w:val="auto"/>
        </w:rPr>
      </w:pPr>
    </w:p>
    <w:p>
      <w:pPr>
        <w:ind w:left="500" w:hanging="363"/>
        <w:spacing w:after="0" w:line="253"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history of incurring significant losses. Our net losses were $265.9 million and $193.5 million for the years ended December 31, 2025 and 2024, respectively. As of December 31, 2025, we had an accumulated deficit of $1,157.0 million. We expect to incur operating losses over the next several years and may never achieve or maintain profitability.</w:t>
      </w:r>
    </w:p>
    <w:p>
      <w:pPr>
        <w:spacing w:after="0" w:line="183" w:lineRule="exact"/>
        <w:rPr>
          <w:rFonts w:ascii="Arial" w:cs="Arial" w:eastAsia="Arial" w:hAnsi="Arial"/>
          <w:sz w:val="20"/>
          <w:szCs w:val="20"/>
          <w:color w:val="auto"/>
        </w:rPr>
      </w:pPr>
    </w:p>
    <w:p>
      <w:pPr>
        <w:ind w:left="500" w:right="80" w:hanging="363"/>
        <w:spacing w:after="0" w:line="253"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raise additional funds through equity or debt financings or other arrangements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83" w:lineRule="exact"/>
        <w:rPr>
          <w:rFonts w:ascii="Arial" w:cs="Arial" w:eastAsia="Arial" w:hAnsi="Arial"/>
          <w:sz w:val="20"/>
          <w:szCs w:val="20"/>
          <w:color w:val="auto"/>
        </w:rPr>
      </w:pPr>
    </w:p>
    <w:p>
      <w:pPr>
        <w:ind w:left="500" w:right="340" w:hanging="363"/>
        <w:spacing w:after="0" w:line="253"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have significant indebtedness including under our secured term loan facility pursuant to our credit and security agreement with Barings Finance LLC as administrative agent, and the lenders party thereto. Our significant indebtedness may limit cash flow available to invest in the ongoing needs of our business or otherwise affect our operations.</w:t>
      </w:r>
    </w:p>
    <w:p>
      <w:pPr>
        <w:spacing w:after="0" w:line="183" w:lineRule="exact"/>
        <w:rPr>
          <w:rFonts w:ascii="Arial" w:cs="Arial" w:eastAsia="Arial" w:hAnsi="Arial"/>
          <w:sz w:val="20"/>
          <w:szCs w:val="20"/>
          <w:color w:val="auto"/>
        </w:rPr>
      </w:pPr>
    </w:p>
    <w:p>
      <w:pPr>
        <w:ind w:left="500" w:right="220" w:hanging="363"/>
        <w:spacing w:after="0" w:line="249"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heavily on the success of our product candidate AXPAXLI and our commercial product DEXTENZA. Our ability to generate product revenues sufficient to achieve profitability is dependent on obtaining marketing approval for and successfully commercializing AXPAXLI, and our successful commercialization of DEXTENZA for the treatment of ocular inflammation and pain following ophthalmic surgery and ocular itching associated with allergic conjunctivitis.</w:t>
      </w:r>
    </w:p>
    <w:p>
      <w:pPr>
        <w:spacing w:after="0" w:line="189" w:lineRule="exact"/>
        <w:rPr>
          <w:rFonts w:ascii="Arial" w:cs="Arial" w:eastAsia="Arial" w:hAnsi="Arial"/>
          <w:sz w:val="20"/>
          <w:szCs w:val="20"/>
          <w:color w:val="auto"/>
        </w:rPr>
      </w:pPr>
    </w:p>
    <w:p>
      <w:pPr>
        <w:ind w:left="500" w:right="20" w:hanging="363"/>
        <w:spacing w:after="0" w:line="246"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of our product candidates, including AXPAXLI, may not be successful. If we experience delays or difficulties in enrollment, serious adverse events or side effects are identified, or any other unforeseen events occur in connection with clinical trials of any of our product candidates, or if clinical trials of any of our product candidates fail to demonstrate safety and efficacy to the satisfaction of the FDA or other regulatory authorities or do not otherwise produce favorable results, we may incur additional costs or experience delays in completing, or ultimately be unable to complete, the development and commercialization of such product candidates.</w:t>
      </w:r>
    </w:p>
    <w:p>
      <w:pPr>
        <w:spacing w:after="0" w:line="193" w:lineRule="exact"/>
        <w:rPr>
          <w:rFonts w:ascii="Arial" w:cs="Arial" w:eastAsia="Arial" w:hAnsi="Arial"/>
          <w:sz w:val="20"/>
          <w:szCs w:val="20"/>
          <w:color w:val="auto"/>
        </w:rPr>
      </w:pPr>
    </w:p>
    <w:p>
      <w:pPr>
        <w:ind w:left="500" w:right="40" w:hanging="363"/>
        <w:spacing w:after="0" w:line="245"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unforeseen events that could delay or prevent our ability to receive marketing approval or commercialize our product candidates. Clinical trials of our product candidates could produce negative or inconclusive results, or regulators could disagree with us regarding clinical trial results or the sufficiency of our proposed data package, for example if the FDA determines not to accept a new drug application for AXPAXLI for the treatment of wet AMD based on a single registrational trial, SOL-1, even if the data are positive, or in the alternative denies such application. We may decide, or regulators may require us, to submit additional clinical data, conduct additional clinical trials or abandon product development programs. Enrollment in clinical trials may be slower than we anticipate. The cost of clinical trials of our product candidates may be greater than we anticipate.</w:t>
      </w:r>
    </w:p>
    <w:p>
      <w:pPr>
        <w:spacing w:after="0" w:line="190" w:lineRule="exact"/>
        <w:rPr>
          <w:rFonts w:ascii="Arial" w:cs="Arial" w:eastAsia="Arial" w:hAnsi="Arial"/>
          <w:sz w:val="20"/>
          <w:szCs w:val="20"/>
          <w:color w:val="auto"/>
        </w:rPr>
      </w:pPr>
    </w:p>
    <w:p>
      <w:pPr>
        <w:ind w:left="500" w:right="60" w:hanging="363"/>
        <w:spacing w:after="0" w:line="244"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are conducting our SOL-1 trial under a Special Protocol Assessment, or SPA, agreement, and, if needed, will conduct our HELIOS-2 trial under a SPA agreement, in each case agreed to by the FDA.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Moreover, the FDA retains significant discretion in interpreting the terms of a SPA agreement and the data and results from any trial that is the subject of a SPA agreement. A SPA agreement does not ensure the receipt of marketing approval by the FDA or other regulatory authorities or that the approval process will be faster than conventional procedures. Although we expect to realize benefits in connection with utilizing the Section 505(b)(2) regulatory pathway for AXPAXLI, we may not ultimately realize these benefits.</w:t>
      </w:r>
    </w:p>
    <w:p>
      <w:pPr>
        <w:spacing w:after="0" w:line="195" w:lineRule="exact"/>
        <w:rPr>
          <w:rFonts w:ascii="Arial" w:cs="Arial" w:eastAsia="Arial" w:hAnsi="Arial"/>
          <w:sz w:val="20"/>
          <w:szCs w:val="20"/>
          <w:color w:val="auto"/>
        </w:rPr>
      </w:pPr>
    </w:p>
    <w:p>
      <w:pPr>
        <w:ind w:left="500" w:hanging="363"/>
        <w:spacing w:after="0" w:line="253" w:lineRule="auto"/>
        <w:tabs>
          <w:tab w:leader="none" w:pos="5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single-site manufacturing facility for DEXTENZA, and we have a separate single-site manufacturing facility for product candidates that we use in our clinical trials and other research and development activities, including AXPAXLI. We also depend from time to time on single-source suppliers for certain materials used in the manufacturing of our products and product candidates. If we have a material</w:t>
      </w:r>
    </w:p>
    <w:p>
      <w:pPr>
        <w:sectPr>
          <w:pgSz w:w="11880" w:h="15480" w:orient="portrait"/>
          <w:cols w:equalWidth="0" w:num="1">
            <w:col w:w="9340"/>
          </w:cols>
          <w:pgMar w:left="1440" w:top="1064" w:right="110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340"/>
          </w:cols>
          <w:pgMar w:left="1440" w:top="1064" w:right="1100" w:bottom="0" w:gutter="0" w:footer="0" w:header="0"/>
          <w:type w:val="continuous"/>
        </w:sectPr>
      </w:pPr>
    </w:p>
    <w:bookmarkStart w:id="5" w:name="page6"/>
    <w:bookmarkEnd w:id="5"/>
    <w:p>
      <w:pPr>
        <w:ind w:left="500" w:right="80"/>
        <w:spacing w:after="0" w:line="250" w:lineRule="auto"/>
        <w:rPr>
          <w:sz w:val="20"/>
          <w:szCs w:val="20"/>
          <w:color w:val="auto"/>
        </w:rPr>
      </w:pPr>
      <w:r>
        <w:rPr>
          <w:rFonts w:ascii="Times New Roman" w:cs="Times New Roman" w:eastAsia="Times New Roman" w:hAnsi="Times New Roman"/>
          <w:sz w:val="20"/>
          <w:szCs w:val="20"/>
          <w:color w:val="auto"/>
        </w:rPr>
        <w:t>disruption in our manufacturing operations at this facility, or if we are unable to obtain sufficient components of our products and product candidates from our suppliers on acceptable terms or at all, we may not have sufficient quantities of our product candidates to meet our clinical trial requirements or of our product inventory to meet our commercial requirements. Such an event could delay our clinical trials or, particularly because we maintain limited commercial inventory, could reduce our product sales.</w:t>
      </w:r>
    </w:p>
    <w:p>
      <w:pPr>
        <w:spacing w:after="0" w:line="187" w:lineRule="exact"/>
        <w:rPr>
          <w:sz w:val="20"/>
          <w:szCs w:val="20"/>
          <w:color w:val="auto"/>
        </w:rPr>
      </w:pPr>
    </w:p>
    <w:p>
      <w:pPr>
        <w:ind w:left="500" w:right="160" w:hanging="363"/>
        <w:spacing w:after="0" w:line="246" w:lineRule="auto"/>
        <w:tabs>
          <w:tab w:leader="none" w:pos="5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DEXTENZA, and any of our product candidates for which we obtain marketing approval, including AXPAXLI, may become subject to less favorable or unfavorable pricing regulations, third-party coverage or reimbursement practices or healthcare reform initiatives, which could harm our business. For instance, if DEXTENZA ceases to be eligible for reimbursement separate from ophthalmic surgery in the ambulatory surgical center setting or if we are not able to achieve the pricing and reimbursement coverage we anticipate for AXPAXLI, if approved, our net product revenues would be impacted significantly, and our ability to generate revenues from future sales of DEXTENZA or AXPAXLI could be adversely affected.</w:t>
      </w:r>
    </w:p>
    <w:p>
      <w:pPr>
        <w:spacing w:after="0" w:line="193" w:lineRule="exact"/>
        <w:rPr>
          <w:rFonts w:ascii="Arial" w:cs="Arial" w:eastAsia="Arial" w:hAnsi="Arial"/>
          <w:sz w:val="20"/>
          <w:szCs w:val="20"/>
          <w:color w:val="auto"/>
        </w:rPr>
      </w:pPr>
    </w:p>
    <w:p>
      <w:pPr>
        <w:ind w:left="500" w:hanging="363"/>
        <w:spacing w:after="0" w:line="247" w:lineRule="auto"/>
        <w:tabs>
          <w:tab w:leader="none" w:pos="5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establish and maintain adequate sales, marketing and distribution capabilities, maintain regulatory compliance for our manufacturing operations, obtain and maintain patent protection for or gain market acceptance by physicians, patients and third-party payors and others in the medical community of DEXTENZA or any of our product candidates for which we obtain marketing approval, including AXPAXLI, or experience significant delays in doing so, our business will be materially harmed and our ability to generate revenues from product sales will be materially impaired.</w:t>
      </w:r>
    </w:p>
    <w:p>
      <w:pPr>
        <w:spacing w:after="0" w:line="193" w:lineRule="exact"/>
        <w:rPr>
          <w:rFonts w:ascii="Arial" w:cs="Arial" w:eastAsia="Arial" w:hAnsi="Arial"/>
          <w:sz w:val="20"/>
          <w:szCs w:val="20"/>
          <w:color w:val="auto"/>
        </w:rPr>
      </w:pPr>
    </w:p>
    <w:p>
      <w:pPr>
        <w:ind w:left="500" w:right="60" w:hanging="363"/>
        <w:spacing w:after="0" w:line="253" w:lineRule="auto"/>
        <w:tabs>
          <w:tab w:leader="none" w:pos="5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success depends on our ability to retain key executives and to attract, retain and motivate qualified personnel. The loss of the services of our executive officers or other key employees could impede the achievement of our research, development and commercialization objectives and seriously harm our ability to successfully implement our business strategy.</w:t>
      </w:r>
    </w:p>
    <w:p>
      <w:pPr>
        <w:spacing w:after="0" w:line="183" w:lineRule="exact"/>
        <w:rPr>
          <w:rFonts w:ascii="Arial" w:cs="Arial" w:eastAsia="Arial" w:hAnsi="Arial"/>
          <w:sz w:val="20"/>
          <w:szCs w:val="20"/>
          <w:color w:val="auto"/>
        </w:rPr>
      </w:pPr>
    </w:p>
    <w:p>
      <w:pPr>
        <w:ind w:left="500" w:right="20" w:hanging="363"/>
        <w:spacing w:after="0" w:line="245" w:lineRule="auto"/>
        <w:tabs>
          <w:tab w:leader="none" w:pos="5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face and, if approved, our product candidates, including AXPAXLI, will face competition from generic, biosimilar and branded versions of existing drugs, many of which have achieved widespread acceptance among physicians, payors and patients for the treatment of ophthalmic diseases and conditions. In addition, because the active pharmaceutical ingredients in our products and leading product candidates are available off-patent, or are soon to be available off-patent, competitors may be able to prepare and submit applications for abbreviated new drug applications, or ANDAs, or foreign equivalents for generic versions of our products without the need to conduct clinical development and may be able to offer and sell products, whether approved through the ANDA process or otherwise, with the same active pharmaceutical ingredient as our products so long as these competitors do not infringe our the patents that we own or license.</w:t>
      </w:r>
    </w:p>
    <w:p>
      <w:pPr>
        <w:spacing w:after="0" w:line="190" w:lineRule="exact"/>
        <w:rPr>
          <w:rFonts w:ascii="Arial" w:cs="Arial" w:eastAsia="Arial" w:hAnsi="Arial"/>
          <w:sz w:val="20"/>
          <w:szCs w:val="20"/>
          <w:color w:val="auto"/>
        </w:rPr>
      </w:pPr>
    </w:p>
    <w:p>
      <w:pPr>
        <w:ind w:left="500" w:right="540" w:hanging="363"/>
        <w:spacing w:after="0" w:line="279" w:lineRule="auto"/>
        <w:tabs>
          <w:tab w:leader="none" w:pos="5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Even if we successfully obtain marketing approval for one or more of our product candidates, including AXPAXLI, the approved product will be subject to ongoing review and extensive regulation.</w:t>
      </w:r>
    </w:p>
    <w:p>
      <w:pPr>
        <w:spacing w:after="0" w:line="159" w:lineRule="exact"/>
        <w:rPr>
          <w:rFonts w:ascii="Arial" w:cs="Arial" w:eastAsia="Arial" w:hAnsi="Arial"/>
          <w:sz w:val="20"/>
          <w:szCs w:val="20"/>
          <w:color w:val="auto"/>
        </w:rPr>
      </w:pPr>
    </w:p>
    <w:p>
      <w:pPr>
        <w:ind w:left="500" w:hanging="363"/>
        <w:spacing w:after="0" w:line="244" w:lineRule="auto"/>
        <w:tabs>
          <w:tab w:leader="none" w:pos="5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Depending on the outcome of our clinical programs, we will likely need additional funding to support future working capital needs and/or expansion of our operating plan. If we are unable to raise capital when needed or on attractive terms, we could be forced to delay, reduce or eliminate our research and development programs or our commercialization efforts. To the extent that we raise additional capital through the sale of equity, preferred equity or convertible debt securities,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9" w:lineRule="exact"/>
        <w:rPr>
          <w:rFonts w:ascii="Arial" w:cs="Arial" w:eastAsia="Arial" w:hAnsi="Arial"/>
          <w:sz w:val="20"/>
          <w:szCs w:val="20"/>
          <w:color w:val="auto"/>
        </w:rPr>
      </w:pPr>
    </w:p>
    <w:p>
      <w:pPr>
        <w:jc w:val="both"/>
        <w:ind w:left="500" w:right="120" w:hanging="363"/>
        <w:spacing w:after="0" w:line="258" w:lineRule="auto"/>
        <w:tabs>
          <w:tab w:leader="none" w:pos="5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stock price is volatile and fluctuates substantially. As a result of this volatility, our stockholders may not be able to sell their common stock at or above the price at which they purchased it. We have previously, and we may in the future, be the target of legal proceedings related to declines in our stock price.</w:t>
      </w:r>
    </w:p>
    <w:p>
      <w:pPr>
        <w:sectPr>
          <w:pgSz w:w="11880" w:h="15480" w:orient="portrait"/>
          <w:cols w:equalWidth="0" w:num="1">
            <w:col w:w="9340"/>
          </w:cols>
          <w:pgMar w:left="144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340"/>
          </w:cols>
          <w:pgMar w:left="1440" w:top="1064" w:right="1100" w:bottom="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44" w:lineRule="exact"/>
        <w:rPr>
          <w:sz w:val="20"/>
          <w:szCs w:val="20"/>
          <w:color w:val="auto"/>
        </w:rPr>
      </w:pPr>
    </w:p>
    <w:p>
      <w:pPr>
        <w:ind w:right="80" w:firstLine="490"/>
        <w:spacing w:after="0" w:line="248" w:lineRule="auto"/>
        <w:rPr>
          <w:sz w:val="20"/>
          <w:szCs w:val="20"/>
          <w:color w:val="auto"/>
        </w:rPr>
      </w:pPr>
      <w:r>
        <w:rPr>
          <w:rFonts w:ascii="Times New Roman" w:cs="Times New Roman" w:eastAsia="Times New Roman" w:hAnsi="Times New Roman"/>
          <w:sz w:val="20"/>
          <w:szCs w:val="20"/>
          <w:color w:val="auto"/>
        </w:rPr>
        <w:t>We are an integrated biopharmaceutical company committed to redefining the retina experience. AXPAXLI, also known as OTX-TKI, our investigational product candidate for retinal disease, is an axitinib intravitreal hydrogel based on our ELUTYX proprietary bioresorbable hydrogel-based formulation technology. AXPAXLI is currently being evaluated in a Phase 3 registrational program for wet age-related macular degeneration, or wet AMD, which we refer to as the SOL program. AXPAXLI is currently also being evaluated in a Phase 3 registrational program for diabetic retinal disease, including non-proliferative diabetic retinopathy, or NPDR, which we refer to as the HELIOS program.</w:t>
      </w:r>
    </w:p>
    <w:p>
      <w:pPr>
        <w:spacing w:after="0" w:line="194"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color w:val="auto"/>
        </w:rPr>
        <w:t>We also leverage the ELUTYX technology in our commercial product DEXTENZA, a corticosteroid approved by the U.S. Food and Drug Administration, or FDA, for the treatment of ocular inflammation and pain following ophthalmic surgery in adults and pediatric patients and for the treatment of ocular itching associated with allergic conjunctivitis in adults and pediatric patients aged two years or older, and in our product candidate OTX-TIC, which is a travoprost intracameral hydrogel that has completed a Phase 2 clinical trial for the treatment of open-angle glaucoma, or OAG, or ocular hypertension, or OHT. We are currently evaluating next steps for the OTX-TIC program.</w:t>
      </w:r>
    </w:p>
    <w:p>
      <w:pPr>
        <w:spacing w:after="0" w:line="194"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DEXTENZA and our product candidates in clinical development generally incorporate therapeutic agents that have previously received regulatory approval from the FDA, including small molecules, into ELUTYX, with the goal of providing local programmed release to tailor the duration and amount of the therapeutic agent to be delivered to the eye.</w:t>
      </w:r>
    </w:p>
    <w:p>
      <w:pPr>
        <w:spacing w:after="0" w:line="18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The hydrogel technology that underpins ELUTYX has been used in the human body since 1992 and has demonstrated its safety and effectiveness in over five million patients across eight FDA-approved treatments since that time. Our own approved product DEXTENZA, the first and only drug- eluting intracanalicular insert approved by the FDA, has been used in nearly 750,000 eyes since launch with reported adverse events in approximately 2 of every 10,000 patients. As a result, we believe that the ELUTYX technology is well tolerated.</w:t>
      </w:r>
    </w:p>
    <w:p>
      <w:pPr>
        <w:spacing w:after="0" w:line="19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believe the ELUTYX technology can provide delivery solutions for durable therapies for wet AMD, diabetic retinal disease, including NPDR, diabetic macular edema, or DME, and proliferative diabetic retinopathy, or PDR, retinal vein occlusion, or RVO, and other diseases and conditions of the eye, such as glaucoma. Our ELUTYX-based products and product candidates are hydrogels with ester bonds that are hydrolyzed over time by aqueous or vitreous humor fluid within the eye. Unlike traditional implants, the ELUTYX-based hydrogel is not rigid, does not have a shell, and does not persist following dissolution of the active drug. The factors that regulate the bioresorption of our ELUTYX polymer are temperature and pH of the aqueous environment. As body temperature and pH of the human aqueous environment are within a typical range for humans, and since water levels in the aqueous or vitreous humor are more than sufficient to saturate our polymer matrix, we believe we can program our products and product candidates so that the polymer will be intact long-enough to deliver the active pharmaceutical ingredient and then be fully bioresorbed. We believe that the ELUTYX safety profile is further supported because ELUTYX does not create an acidic microenvironment, it is easily eliminated from the eye, does not leave behind harmful byproducts, and it has soft gel properties.</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AXPAXLI is seeking to address segments of the exudative retinal diseases market, which in the aggregate is</w:t>
      </w:r>
    </w:p>
    <w:p>
      <w:pPr>
        <w:ind w:right="40"/>
        <w:spacing w:after="0" w:line="260" w:lineRule="auto"/>
        <w:rPr>
          <w:sz w:val="20"/>
          <w:szCs w:val="20"/>
          <w:color w:val="auto"/>
        </w:rPr>
      </w:pPr>
      <w:r>
        <w:rPr>
          <w:rFonts w:ascii="Times New Roman" w:cs="Times New Roman" w:eastAsia="Times New Roman" w:hAnsi="Times New Roman"/>
          <w:sz w:val="20"/>
          <w:szCs w:val="20"/>
          <w:color w:val="auto"/>
        </w:rPr>
        <w:t>estimated to include up to 8.3 million patients in the United States by 2030 and accounted for approximately $9.4 billion in U.S. annual estimated revenues in 2025, according to the Market Scope 2025 Exudative Retinal Disease Pharmaceuticals Report, published in October 2025, or the Market Scope 2025 Retina Report.</w:t>
      </w:r>
    </w:p>
    <w:p>
      <w:pPr>
        <w:sectPr>
          <w:pgSz w:w="11880" w:h="15480" w:orient="portrait"/>
          <w:cols w:equalWidth="0" w:num="1">
            <w:col w:w="9700"/>
          </w:cols>
          <w:pgMar w:left="1080" w:top="1062"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700"/>
          </w:cols>
          <w:pgMar w:left="1080" w:top="1062" w:right="1100" w:bottom="0" w:gutter="0" w:footer="0" w:header="0"/>
          <w:type w:val="continuous"/>
        </w:sectPr>
      </w:pPr>
    </w:p>
    <w:bookmarkStart w:id="7" w:name="page8"/>
    <w:bookmarkEnd w:id="7"/>
    <w:p>
      <w:pPr>
        <w:ind w:right="60" w:firstLine="490"/>
        <w:spacing w:after="0" w:line="250" w:lineRule="auto"/>
        <w:rPr>
          <w:sz w:val="20"/>
          <w:szCs w:val="20"/>
          <w:color w:val="auto"/>
        </w:rPr>
      </w:pPr>
      <w:r>
        <w:rPr>
          <w:rFonts w:ascii="Times New Roman" w:cs="Times New Roman" w:eastAsia="Times New Roman" w:hAnsi="Times New Roman"/>
          <w:sz w:val="20"/>
          <w:szCs w:val="20"/>
          <w:color w:val="auto"/>
        </w:rPr>
        <w:t>The following table summarizes the status of our key product candidates and development programs. We hold worldwide exclusive commercial rights to the core technology underlying all of our product candidates in development and have not granted commercial rights to any marketing partners other than a license agreement and collaboration with AffaMed Therapeutics Limited, or AffaMed, for the development and commercialization of DEXTENZA and OTX-TIC in certain geographies in Asia agreed to between the parties.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PIPELINE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158115</wp:posOffset>
            </wp:positionV>
            <wp:extent cx="4511675" cy="210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4511675" cy="2106295"/>
                    </a:xfrm>
                    <a:prstGeom prst="rect">
                      <a:avLst/>
                    </a:prstGeom>
                    <a:noFill/>
                  </pic:spPr>
                </pic:pic>
              </a:graphicData>
            </a:graphic>
          </wp:anchor>
        </w:drawing>
      </w:r>
    </w:p>
    <w:p>
      <w:pPr>
        <w:spacing w:after="0" w:line="341" w:lineRule="exact"/>
        <w:rPr>
          <w:sz w:val="20"/>
          <w:szCs w:val="20"/>
          <w:color w:val="auto"/>
        </w:rPr>
      </w:pPr>
    </w:p>
    <w:tbl>
      <w:tblPr>
        <w:tblLayout w:type="fixed"/>
        <w:tblInd w:w="1560" w:type="dxa"/>
        <w:tblCellMar>
          <w:top w:w="0" w:type="dxa"/>
          <w:left w:w="0" w:type="dxa"/>
          <w:bottom w:w="0" w:type="dxa"/>
          <w:right w:w="0" w:type="dxa"/>
        </w:tblCellMar>
      </w:tblPr>
      <w:tr>
        <w:trPr>
          <w:trHeight w:val="208"/>
        </w:trPr>
        <w:tc>
          <w:tcPr>
            <w:tcW w:w="920" w:type="dxa"/>
            <w:vAlign w:val="bottom"/>
          </w:tcPr>
          <w:p>
            <w:pPr>
              <w:spacing w:after="0"/>
              <w:rPr>
                <w:sz w:val="20"/>
                <w:szCs w:val="20"/>
                <w:color w:val="auto"/>
              </w:rPr>
            </w:pPr>
            <w:r>
              <w:rPr>
                <w:rFonts w:ascii="Arial" w:cs="Arial" w:eastAsia="Arial" w:hAnsi="Arial"/>
                <w:sz w:val="14"/>
                <w:szCs w:val="14"/>
                <w:b w:val="1"/>
                <w:bCs w:val="1"/>
                <w:color w:val="FFFFFF"/>
              </w:rPr>
              <w:t>AXPAXLI</w:t>
            </w:r>
            <w:r>
              <w:rPr>
                <w:rFonts w:ascii="Arial" w:cs="Arial" w:eastAsia="Arial" w:hAnsi="Arial"/>
                <w:sz w:val="8"/>
                <w:szCs w:val="8"/>
                <w:b w:val="1"/>
                <w:bCs w:val="1"/>
                <w:color w:val="FFFFFF"/>
              </w:rPr>
              <w:t>TM</w:t>
            </w:r>
          </w:p>
        </w:tc>
        <w:tc>
          <w:tcPr>
            <w:tcW w:w="1040" w:type="dxa"/>
            <w:vAlign w:val="bottom"/>
          </w:tcPr>
          <w:p>
            <w:pPr>
              <w:ind w:left="160"/>
              <w:spacing w:after="0"/>
              <w:rPr>
                <w:sz w:val="20"/>
                <w:szCs w:val="20"/>
                <w:color w:val="auto"/>
              </w:rPr>
            </w:pPr>
            <w:r>
              <w:rPr>
                <w:rFonts w:ascii="Arial" w:cs="Arial" w:eastAsia="Arial" w:hAnsi="Arial"/>
                <w:sz w:val="10"/>
                <w:szCs w:val="10"/>
                <w:b w:val="1"/>
                <w:bCs w:val="1"/>
                <w:color w:val="FFFFFF"/>
              </w:rPr>
              <w:t>PRECLINICAL</w:t>
            </w:r>
          </w:p>
        </w:tc>
        <w:tc>
          <w:tcPr>
            <w:tcW w:w="1140" w:type="dxa"/>
            <w:vAlign w:val="bottom"/>
          </w:tcPr>
          <w:p>
            <w:pPr>
              <w:ind w:left="200"/>
              <w:spacing w:after="0"/>
              <w:rPr>
                <w:sz w:val="20"/>
                <w:szCs w:val="20"/>
                <w:color w:val="auto"/>
              </w:rPr>
            </w:pPr>
            <w:r>
              <w:rPr>
                <w:rFonts w:ascii="Arial" w:cs="Arial" w:eastAsia="Arial" w:hAnsi="Arial"/>
                <w:sz w:val="10"/>
                <w:szCs w:val="10"/>
                <w:b w:val="1"/>
                <w:bCs w:val="1"/>
                <w:color w:val="FFFFFF"/>
              </w:rPr>
              <w:t>PHASE 1</w:t>
            </w:r>
          </w:p>
        </w:tc>
        <w:tc>
          <w:tcPr>
            <w:tcW w:w="1060" w:type="dxa"/>
            <w:vAlign w:val="bottom"/>
          </w:tcPr>
          <w:p>
            <w:pPr>
              <w:ind w:left="140"/>
              <w:spacing w:after="0"/>
              <w:rPr>
                <w:sz w:val="20"/>
                <w:szCs w:val="20"/>
                <w:color w:val="auto"/>
              </w:rPr>
            </w:pPr>
            <w:r>
              <w:rPr>
                <w:rFonts w:ascii="Arial" w:cs="Arial" w:eastAsia="Arial" w:hAnsi="Arial"/>
                <w:sz w:val="10"/>
                <w:szCs w:val="10"/>
                <w:b w:val="1"/>
                <w:bCs w:val="1"/>
                <w:color w:val="FFFFFF"/>
              </w:rPr>
              <w:t>PHASE 2</w:t>
            </w:r>
          </w:p>
        </w:tc>
        <w:tc>
          <w:tcPr>
            <w:tcW w:w="1000" w:type="dxa"/>
            <w:vAlign w:val="bottom"/>
          </w:tcPr>
          <w:p>
            <w:pPr>
              <w:ind w:left="160"/>
              <w:spacing w:after="0"/>
              <w:rPr>
                <w:sz w:val="20"/>
                <w:szCs w:val="20"/>
                <w:color w:val="auto"/>
              </w:rPr>
            </w:pPr>
            <w:r>
              <w:rPr>
                <w:rFonts w:ascii="Arial" w:cs="Arial" w:eastAsia="Arial" w:hAnsi="Arial"/>
                <w:sz w:val="10"/>
                <w:szCs w:val="10"/>
                <w:b w:val="1"/>
                <w:bCs w:val="1"/>
                <w:color w:val="FFFFFF"/>
              </w:rPr>
              <w:t>PHASE 3</w:t>
            </w:r>
          </w:p>
        </w:tc>
        <w:tc>
          <w:tcPr>
            <w:tcW w:w="1040" w:type="dxa"/>
            <w:vAlign w:val="bottom"/>
          </w:tcPr>
          <w:p>
            <w:pPr>
              <w:ind w:left="240"/>
              <w:spacing w:after="0"/>
              <w:rPr>
                <w:sz w:val="20"/>
                <w:szCs w:val="20"/>
                <w:color w:val="auto"/>
              </w:rPr>
            </w:pPr>
            <w:r>
              <w:rPr>
                <w:rFonts w:ascii="Arial" w:cs="Arial" w:eastAsia="Arial" w:hAnsi="Arial"/>
                <w:sz w:val="10"/>
                <w:szCs w:val="10"/>
                <w:b w:val="1"/>
                <w:bCs w:val="1"/>
                <w:color w:val="FFFFFF"/>
                <w:w w:val="98"/>
              </w:rPr>
              <w:t>FDA APPROVAL</w:t>
            </w:r>
          </w:p>
        </w:tc>
      </w:tr>
      <w:tr>
        <w:trPr>
          <w:trHeight w:val="115"/>
        </w:trPr>
        <w:tc>
          <w:tcPr>
            <w:tcW w:w="920" w:type="dxa"/>
            <w:vAlign w:val="bottom"/>
          </w:tcPr>
          <w:p>
            <w:pPr>
              <w:spacing w:after="0"/>
              <w:rPr>
                <w:sz w:val="20"/>
                <w:szCs w:val="20"/>
                <w:color w:val="auto"/>
              </w:rPr>
            </w:pPr>
            <w:r>
              <w:rPr>
                <w:rFonts w:ascii="Arial" w:cs="Arial" w:eastAsia="Arial" w:hAnsi="Arial"/>
                <w:sz w:val="9"/>
                <w:szCs w:val="9"/>
                <w:b w:val="1"/>
                <w:bCs w:val="1"/>
                <w:color w:val="FFFFFF"/>
              </w:rPr>
              <w:t>(also known as</w:t>
            </w:r>
          </w:p>
        </w:tc>
        <w:tc>
          <w:tcPr>
            <w:tcW w:w="1040" w:type="dxa"/>
            <w:vAlign w:val="bottom"/>
          </w:tcPr>
          <w:p>
            <w:pPr>
              <w:spacing w:after="0"/>
              <w:rPr>
                <w:sz w:val="10"/>
                <w:szCs w:val="10"/>
                <w:color w:val="auto"/>
              </w:rPr>
            </w:pPr>
          </w:p>
        </w:tc>
        <w:tc>
          <w:tcPr>
            <w:tcW w:w="1140" w:type="dxa"/>
            <w:vAlign w:val="bottom"/>
          </w:tcPr>
          <w:p>
            <w:pPr>
              <w:ind w:left="200"/>
              <w:spacing w:after="0"/>
              <w:rPr>
                <w:sz w:val="20"/>
                <w:szCs w:val="20"/>
                <w:color w:val="auto"/>
              </w:rPr>
            </w:pPr>
            <w:r>
              <w:rPr>
                <w:rFonts w:ascii="Arial" w:cs="Arial" w:eastAsia="Arial" w:hAnsi="Arial"/>
                <w:sz w:val="9"/>
                <w:szCs w:val="9"/>
                <w:b w:val="1"/>
                <w:bCs w:val="1"/>
                <w:color w:val="FFFFFF"/>
              </w:rPr>
              <w:t>Early Clinical Stage</w:t>
            </w:r>
          </w:p>
        </w:tc>
        <w:tc>
          <w:tcPr>
            <w:tcW w:w="1060" w:type="dxa"/>
            <w:vAlign w:val="bottom"/>
          </w:tcPr>
          <w:p>
            <w:pPr>
              <w:ind w:left="140"/>
              <w:spacing w:after="0"/>
              <w:rPr>
                <w:sz w:val="20"/>
                <w:szCs w:val="20"/>
                <w:color w:val="auto"/>
              </w:rPr>
            </w:pPr>
            <w:r>
              <w:rPr>
                <w:rFonts w:ascii="Arial" w:cs="Arial" w:eastAsia="Arial" w:hAnsi="Arial"/>
                <w:sz w:val="9"/>
                <w:szCs w:val="9"/>
                <w:b w:val="1"/>
                <w:bCs w:val="1"/>
                <w:color w:val="FFFFFF"/>
              </w:rPr>
              <w:t>Mid Clinical Stage</w:t>
            </w:r>
          </w:p>
        </w:tc>
        <w:tc>
          <w:tcPr>
            <w:tcW w:w="1000" w:type="dxa"/>
            <w:vAlign w:val="bottom"/>
          </w:tcPr>
          <w:p>
            <w:pPr>
              <w:ind w:left="160"/>
              <w:spacing w:after="0"/>
              <w:rPr>
                <w:sz w:val="20"/>
                <w:szCs w:val="20"/>
                <w:color w:val="auto"/>
              </w:rPr>
            </w:pPr>
            <w:r>
              <w:rPr>
                <w:rFonts w:ascii="Arial" w:cs="Arial" w:eastAsia="Arial" w:hAnsi="Arial"/>
                <w:sz w:val="9"/>
                <w:szCs w:val="9"/>
                <w:b w:val="1"/>
                <w:bCs w:val="1"/>
                <w:color w:val="FFFFFF"/>
              </w:rPr>
              <w:t>Registrational</w:t>
            </w:r>
          </w:p>
        </w:tc>
        <w:tc>
          <w:tcPr>
            <w:tcW w:w="1040" w:type="dxa"/>
            <w:vAlign w:val="bottom"/>
          </w:tcPr>
          <w:p>
            <w:pPr>
              <w:spacing w:after="0"/>
              <w:rPr>
                <w:sz w:val="10"/>
                <w:szCs w:val="10"/>
                <w:color w:val="auto"/>
              </w:rPr>
            </w:pPr>
          </w:p>
        </w:tc>
      </w:tr>
      <w:tr>
        <w:trPr>
          <w:trHeight w:val="115"/>
        </w:trPr>
        <w:tc>
          <w:tcPr>
            <w:tcW w:w="920" w:type="dxa"/>
            <w:vAlign w:val="bottom"/>
          </w:tcPr>
          <w:p>
            <w:pPr>
              <w:spacing w:after="0"/>
              <w:rPr>
                <w:sz w:val="20"/>
                <w:szCs w:val="20"/>
                <w:color w:val="auto"/>
              </w:rPr>
            </w:pPr>
            <w:r>
              <w:rPr>
                <w:rFonts w:ascii="Arial" w:cs="Arial" w:eastAsia="Arial" w:hAnsi="Arial"/>
                <w:sz w:val="9"/>
                <w:szCs w:val="9"/>
                <w:b w:val="1"/>
                <w:bCs w:val="1"/>
                <w:color w:val="FFFFFF"/>
              </w:rPr>
              <w:t>OTX-TKI), an</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9"/>
                <w:szCs w:val="9"/>
                <w:b w:val="1"/>
                <w:bCs w:val="1"/>
                <w:color w:val="FFFFFF"/>
              </w:rPr>
              <w:t>Phase</w:t>
            </w:r>
          </w:p>
        </w:tc>
        <w:tc>
          <w:tcPr>
            <w:tcW w:w="1040" w:type="dxa"/>
            <w:vAlign w:val="bottom"/>
          </w:tcPr>
          <w:p>
            <w:pPr>
              <w:spacing w:after="0"/>
              <w:rPr>
                <w:sz w:val="10"/>
                <w:szCs w:val="10"/>
                <w:color w:val="auto"/>
              </w:rPr>
            </w:pPr>
          </w:p>
        </w:tc>
      </w:tr>
      <w:tr>
        <w:trPr>
          <w:trHeight w:val="115"/>
        </w:trPr>
        <w:tc>
          <w:tcPr>
            <w:tcW w:w="920" w:type="dxa"/>
            <w:vAlign w:val="bottom"/>
          </w:tcPr>
          <w:p>
            <w:pPr>
              <w:spacing w:after="0"/>
              <w:rPr>
                <w:sz w:val="20"/>
                <w:szCs w:val="20"/>
                <w:color w:val="auto"/>
              </w:rPr>
            </w:pPr>
            <w:r>
              <w:rPr>
                <w:rFonts w:ascii="Arial" w:cs="Arial" w:eastAsia="Arial" w:hAnsi="Arial"/>
                <w:sz w:val="9"/>
                <w:szCs w:val="9"/>
                <w:b w:val="1"/>
                <w:bCs w:val="1"/>
                <w:color w:val="FFFFFF"/>
              </w:rPr>
              <w:t>investigational</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15"/>
        </w:trPr>
        <w:tc>
          <w:tcPr>
            <w:tcW w:w="920" w:type="dxa"/>
            <w:vAlign w:val="bottom"/>
          </w:tcPr>
          <w:p>
            <w:pPr>
              <w:spacing w:after="0"/>
              <w:rPr>
                <w:sz w:val="20"/>
                <w:szCs w:val="20"/>
                <w:color w:val="auto"/>
              </w:rPr>
            </w:pPr>
            <w:r>
              <w:rPr>
                <w:rFonts w:ascii="Arial" w:cs="Arial" w:eastAsia="Arial" w:hAnsi="Arial"/>
                <w:sz w:val="9"/>
                <w:szCs w:val="9"/>
                <w:b w:val="1"/>
                <w:bCs w:val="1"/>
                <w:color w:val="FFFFFF"/>
              </w:rPr>
              <w:t>axitinib hydrogel</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15"/>
        </w:trPr>
        <w:tc>
          <w:tcPr>
            <w:tcW w:w="920" w:type="dxa"/>
            <w:vAlign w:val="bottom"/>
          </w:tcPr>
          <w:p>
            <w:pPr>
              <w:spacing w:after="0"/>
              <w:rPr>
                <w:sz w:val="20"/>
                <w:szCs w:val="20"/>
                <w:color w:val="auto"/>
              </w:rPr>
            </w:pPr>
            <w:r>
              <w:rPr>
                <w:rFonts w:ascii="Arial" w:cs="Arial" w:eastAsia="Arial" w:hAnsi="Arial"/>
                <w:sz w:val="9"/>
                <w:szCs w:val="9"/>
                <w:b w:val="1"/>
                <w:bCs w:val="1"/>
                <w:color w:val="FFFFFF"/>
              </w:rPr>
              <w:t>administered by</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15"/>
        </w:trPr>
        <w:tc>
          <w:tcPr>
            <w:tcW w:w="920" w:type="dxa"/>
            <w:vAlign w:val="bottom"/>
          </w:tcPr>
          <w:p>
            <w:pPr>
              <w:spacing w:after="0"/>
              <w:rPr>
                <w:sz w:val="20"/>
                <w:szCs w:val="20"/>
                <w:color w:val="auto"/>
              </w:rPr>
            </w:pPr>
            <w:r>
              <w:rPr>
                <w:rFonts w:ascii="Arial" w:cs="Arial" w:eastAsia="Arial" w:hAnsi="Arial"/>
                <w:sz w:val="9"/>
                <w:szCs w:val="9"/>
                <w:b w:val="1"/>
                <w:bCs w:val="1"/>
                <w:color w:val="FFFFFF"/>
              </w:rPr>
              <w:t>intravitreal</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8"/>
        </w:trPr>
        <w:tc>
          <w:tcPr>
            <w:tcW w:w="920" w:type="dxa"/>
            <w:vAlign w:val="bottom"/>
          </w:tcPr>
          <w:p>
            <w:pPr>
              <w:spacing w:after="0"/>
              <w:rPr>
                <w:sz w:val="20"/>
                <w:szCs w:val="20"/>
                <w:color w:val="auto"/>
              </w:rPr>
            </w:pPr>
            <w:r>
              <w:rPr>
                <w:rFonts w:ascii="Arial" w:cs="Arial" w:eastAsia="Arial" w:hAnsi="Arial"/>
                <w:sz w:val="9"/>
                <w:szCs w:val="9"/>
                <w:b w:val="1"/>
                <w:bCs w:val="1"/>
                <w:color w:val="FFFFFF"/>
              </w:rPr>
              <w:t>injection</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200" w:lineRule="exact"/>
        <w:rPr>
          <w:sz w:val="20"/>
          <w:szCs w:val="20"/>
          <w:color w:val="auto"/>
        </w:rPr>
      </w:pPr>
    </w:p>
    <w:p>
      <w:pPr>
        <w:spacing w:after="0" w:line="290"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Wet AMD*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NPDR</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495300</wp:posOffset>
            </wp:positionV>
            <wp:extent cx="4511675" cy="1471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4511675" cy="147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560" w:type="dxa"/>
        <w:tblCellMar>
          <w:top w:w="0" w:type="dxa"/>
          <w:left w:w="0" w:type="dxa"/>
          <w:bottom w:w="0" w:type="dxa"/>
          <w:right w:w="0" w:type="dxa"/>
        </w:tblCellMar>
      </w:tblPr>
      <w:tr>
        <w:trPr>
          <w:trHeight w:val="208"/>
        </w:trPr>
        <w:tc>
          <w:tcPr>
            <w:tcW w:w="820" w:type="dxa"/>
            <w:vAlign w:val="bottom"/>
          </w:tcPr>
          <w:p>
            <w:pPr>
              <w:spacing w:after="0"/>
              <w:rPr>
                <w:sz w:val="20"/>
                <w:szCs w:val="20"/>
                <w:color w:val="auto"/>
              </w:rPr>
            </w:pPr>
            <w:r>
              <w:rPr>
                <w:rFonts w:ascii="Arial" w:cs="Arial" w:eastAsia="Arial" w:hAnsi="Arial"/>
                <w:sz w:val="14"/>
                <w:szCs w:val="14"/>
                <w:b w:val="1"/>
                <w:bCs w:val="1"/>
                <w:color w:val="FFFFFF"/>
              </w:rPr>
              <w:t>OTX-TIC</w:t>
            </w:r>
          </w:p>
        </w:tc>
        <w:tc>
          <w:tcPr>
            <w:tcW w:w="1000" w:type="dxa"/>
            <w:vAlign w:val="bottom"/>
          </w:tcPr>
          <w:p>
            <w:pPr>
              <w:ind w:left="120"/>
              <w:spacing w:after="0"/>
              <w:rPr>
                <w:sz w:val="20"/>
                <w:szCs w:val="20"/>
                <w:color w:val="auto"/>
              </w:rPr>
            </w:pPr>
            <w:r>
              <w:rPr>
                <w:rFonts w:ascii="Arial" w:cs="Arial" w:eastAsia="Arial" w:hAnsi="Arial"/>
                <w:sz w:val="10"/>
                <w:szCs w:val="10"/>
                <w:b w:val="1"/>
                <w:bCs w:val="1"/>
                <w:color w:val="FFFFFF"/>
              </w:rPr>
              <w:t>PRECLINICAL</w:t>
            </w:r>
          </w:p>
        </w:tc>
        <w:tc>
          <w:tcPr>
            <w:tcW w:w="1180" w:type="dxa"/>
            <w:vAlign w:val="bottom"/>
          </w:tcPr>
          <w:p>
            <w:pPr>
              <w:ind w:left="220"/>
              <w:spacing w:after="0"/>
              <w:rPr>
                <w:sz w:val="20"/>
                <w:szCs w:val="20"/>
                <w:color w:val="auto"/>
              </w:rPr>
            </w:pPr>
            <w:r>
              <w:rPr>
                <w:rFonts w:ascii="Arial" w:cs="Arial" w:eastAsia="Arial" w:hAnsi="Arial"/>
                <w:sz w:val="10"/>
                <w:szCs w:val="10"/>
                <w:b w:val="1"/>
                <w:bCs w:val="1"/>
                <w:color w:val="FFFFFF"/>
              </w:rPr>
              <w:t>PHASE 1</w:t>
            </w:r>
          </w:p>
        </w:tc>
        <w:tc>
          <w:tcPr>
            <w:tcW w:w="1100" w:type="dxa"/>
            <w:vAlign w:val="bottom"/>
          </w:tcPr>
          <w:p>
            <w:pPr>
              <w:ind w:left="160"/>
              <w:spacing w:after="0"/>
              <w:rPr>
                <w:sz w:val="20"/>
                <w:szCs w:val="20"/>
                <w:color w:val="auto"/>
              </w:rPr>
            </w:pPr>
            <w:r>
              <w:rPr>
                <w:rFonts w:ascii="Arial" w:cs="Arial" w:eastAsia="Arial" w:hAnsi="Arial"/>
                <w:sz w:val="10"/>
                <w:szCs w:val="10"/>
                <w:b w:val="1"/>
                <w:bCs w:val="1"/>
                <w:color w:val="FFFFFF"/>
              </w:rPr>
              <w:t>PHASE 2</w:t>
            </w:r>
          </w:p>
        </w:tc>
        <w:tc>
          <w:tcPr>
            <w:tcW w:w="1140" w:type="dxa"/>
            <w:vAlign w:val="bottom"/>
          </w:tcPr>
          <w:p>
            <w:pPr>
              <w:ind w:left="160"/>
              <w:spacing w:after="0"/>
              <w:rPr>
                <w:sz w:val="20"/>
                <w:szCs w:val="20"/>
                <w:color w:val="auto"/>
              </w:rPr>
            </w:pPr>
            <w:r>
              <w:rPr>
                <w:rFonts w:ascii="Arial" w:cs="Arial" w:eastAsia="Arial" w:hAnsi="Arial"/>
                <w:sz w:val="10"/>
                <w:szCs w:val="10"/>
                <w:b w:val="1"/>
                <w:bCs w:val="1"/>
                <w:color w:val="FFFFFF"/>
              </w:rPr>
              <w:t>PHASE 3</w:t>
            </w:r>
          </w:p>
        </w:tc>
        <w:tc>
          <w:tcPr>
            <w:tcW w:w="920" w:type="dxa"/>
            <w:vAlign w:val="bottom"/>
          </w:tcPr>
          <w:p>
            <w:pPr>
              <w:ind w:left="120"/>
              <w:spacing w:after="0"/>
              <w:rPr>
                <w:sz w:val="20"/>
                <w:szCs w:val="20"/>
                <w:color w:val="auto"/>
              </w:rPr>
            </w:pPr>
            <w:r>
              <w:rPr>
                <w:rFonts w:ascii="Arial" w:cs="Arial" w:eastAsia="Arial" w:hAnsi="Arial"/>
                <w:sz w:val="10"/>
                <w:szCs w:val="10"/>
                <w:b w:val="1"/>
                <w:bCs w:val="1"/>
                <w:color w:val="FFFFFF"/>
                <w:w w:val="98"/>
              </w:rPr>
              <w:t>FDA APPROVAL</w:t>
            </w:r>
          </w:p>
        </w:tc>
      </w:tr>
      <w:tr>
        <w:trPr>
          <w:trHeight w:val="115"/>
        </w:trPr>
        <w:tc>
          <w:tcPr>
            <w:tcW w:w="820" w:type="dxa"/>
            <w:vAlign w:val="bottom"/>
          </w:tcPr>
          <w:p>
            <w:pPr>
              <w:spacing w:after="0"/>
              <w:rPr>
                <w:sz w:val="20"/>
                <w:szCs w:val="20"/>
                <w:color w:val="auto"/>
              </w:rPr>
            </w:pPr>
            <w:r>
              <w:rPr>
                <w:rFonts w:ascii="Arial" w:cs="Arial" w:eastAsia="Arial" w:hAnsi="Arial"/>
                <w:sz w:val="9"/>
                <w:szCs w:val="9"/>
                <w:b w:val="1"/>
                <w:bCs w:val="1"/>
                <w:color w:val="FFFFFF"/>
              </w:rPr>
              <w:t>an</w:t>
            </w:r>
          </w:p>
        </w:tc>
        <w:tc>
          <w:tcPr>
            <w:tcW w:w="1000" w:type="dxa"/>
            <w:vAlign w:val="bottom"/>
          </w:tcPr>
          <w:p>
            <w:pPr>
              <w:spacing w:after="0"/>
              <w:rPr>
                <w:sz w:val="10"/>
                <w:szCs w:val="10"/>
                <w:color w:val="auto"/>
              </w:rPr>
            </w:pPr>
          </w:p>
        </w:tc>
        <w:tc>
          <w:tcPr>
            <w:tcW w:w="1180" w:type="dxa"/>
            <w:vAlign w:val="bottom"/>
          </w:tcPr>
          <w:p>
            <w:pPr>
              <w:ind w:left="220"/>
              <w:spacing w:after="0"/>
              <w:rPr>
                <w:sz w:val="20"/>
                <w:szCs w:val="20"/>
                <w:color w:val="auto"/>
              </w:rPr>
            </w:pPr>
            <w:r>
              <w:rPr>
                <w:rFonts w:ascii="Arial" w:cs="Arial" w:eastAsia="Arial" w:hAnsi="Arial"/>
                <w:sz w:val="9"/>
                <w:szCs w:val="9"/>
                <w:b w:val="1"/>
                <w:bCs w:val="1"/>
                <w:color w:val="FFFFFF"/>
              </w:rPr>
              <w:t>Early Clinical Stage</w:t>
            </w:r>
          </w:p>
        </w:tc>
        <w:tc>
          <w:tcPr>
            <w:tcW w:w="1100" w:type="dxa"/>
            <w:vAlign w:val="bottom"/>
          </w:tcPr>
          <w:p>
            <w:pPr>
              <w:ind w:left="160"/>
              <w:spacing w:after="0"/>
              <w:rPr>
                <w:sz w:val="20"/>
                <w:szCs w:val="20"/>
                <w:color w:val="auto"/>
              </w:rPr>
            </w:pPr>
            <w:r>
              <w:rPr>
                <w:rFonts w:ascii="Arial" w:cs="Arial" w:eastAsia="Arial" w:hAnsi="Arial"/>
                <w:sz w:val="9"/>
                <w:szCs w:val="9"/>
                <w:b w:val="1"/>
                <w:bCs w:val="1"/>
                <w:color w:val="FFFFFF"/>
              </w:rPr>
              <w:t>Mid Clinical Stage</w:t>
            </w:r>
          </w:p>
        </w:tc>
        <w:tc>
          <w:tcPr>
            <w:tcW w:w="1140" w:type="dxa"/>
            <w:vAlign w:val="bottom"/>
          </w:tcPr>
          <w:p>
            <w:pPr>
              <w:ind w:left="160"/>
              <w:spacing w:after="0"/>
              <w:rPr>
                <w:sz w:val="20"/>
                <w:szCs w:val="20"/>
                <w:color w:val="auto"/>
              </w:rPr>
            </w:pPr>
            <w:r>
              <w:rPr>
                <w:rFonts w:ascii="Arial" w:cs="Arial" w:eastAsia="Arial" w:hAnsi="Arial"/>
                <w:sz w:val="9"/>
                <w:szCs w:val="9"/>
                <w:b w:val="1"/>
                <w:bCs w:val="1"/>
                <w:color w:val="FFFFFF"/>
              </w:rPr>
              <w:t>Registrational Phase</w:t>
            </w:r>
          </w:p>
        </w:tc>
        <w:tc>
          <w:tcPr>
            <w:tcW w:w="920" w:type="dxa"/>
            <w:vAlign w:val="bottom"/>
          </w:tcPr>
          <w:p>
            <w:pPr>
              <w:spacing w:after="0"/>
              <w:rPr>
                <w:sz w:val="10"/>
                <w:szCs w:val="10"/>
                <w:color w:val="auto"/>
              </w:rPr>
            </w:pPr>
          </w:p>
        </w:tc>
      </w:tr>
      <w:tr>
        <w:trPr>
          <w:trHeight w:val="115"/>
        </w:trPr>
        <w:tc>
          <w:tcPr>
            <w:tcW w:w="820" w:type="dxa"/>
            <w:vAlign w:val="bottom"/>
          </w:tcPr>
          <w:p>
            <w:pPr>
              <w:spacing w:after="0"/>
              <w:rPr>
                <w:sz w:val="20"/>
                <w:szCs w:val="20"/>
                <w:color w:val="auto"/>
              </w:rPr>
            </w:pPr>
            <w:r>
              <w:rPr>
                <w:rFonts w:ascii="Arial" w:cs="Arial" w:eastAsia="Arial" w:hAnsi="Arial"/>
                <w:sz w:val="9"/>
                <w:szCs w:val="9"/>
                <w:b w:val="1"/>
                <w:bCs w:val="1"/>
                <w:color w:val="FFFFFF"/>
              </w:rPr>
              <w:t>investigational</w:t>
            </w: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15"/>
        </w:trPr>
        <w:tc>
          <w:tcPr>
            <w:tcW w:w="820" w:type="dxa"/>
            <w:vAlign w:val="bottom"/>
          </w:tcPr>
          <w:p>
            <w:pPr>
              <w:spacing w:after="0"/>
              <w:rPr>
                <w:sz w:val="20"/>
                <w:szCs w:val="20"/>
                <w:color w:val="auto"/>
              </w:rPr>
            </w:pPr>
            <w:r>
              <w:rPr>
                <w:rFonts w:ascii="Arial" w:cs="Arial" w:eastAsia="Arial" w:hAnsi="Arial"/>
                <w:sz w:val="9"/>
                <w:szCs w:val="9"/>
                <w:b w:val="1"/>
                <w:bCs w:val="1"/>
                <w:color w:val="FFFFFF"/>
              </w:rPr>
              <w:t>travoprost</w:t>
            </w: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15"/>
        </w:trPr>
        <w:tc>
          <w:tcPr>
            <w:tcW w:w="820" w:type="dxa"/>
            <w:vAlign w:val="bottom"/>
          </w:tcPr>
          <w:p>
            <w:pPr>
              <w:spacing w:after="0"/>
              <w:rPr>
                <w:sz w:val="20"/>
                <w:szCs w:val="20"/>
                <w:color w:val="auto"/>
              </w:rPr>
            </w:pPr>
            <w:r>
              <w:rPr>
                <w:rFonts w:ascii="Arial" w:cs="Arial" w:eastAsia="Arial" w:hAnsi="Arial"/>
                <w:sz w:val="9"/>
                <w:szCs w:val="9"/>
                <w:b w:val="1"/>
                <w:bCs w:val="1"/>
                <w:color w:val="FFFFFF"/>
              </w:rPr>
              <w:t>hydrogel</w:t>
            </w: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15"/>
        </w:trPr>
        <w:tc>
          <w:tcPr>
            <w:tcW w:w="820" w:type="dxa"/>
            <w:vAlign w:val="bottom"/>
          </w:tcPr>
          <w:p>
            <w:pPr>
              <w:spacing w:after="0"/>
              <w:rPr>
                <w:sz w:val="20"/>
                <w:szCs w:val="20"/>
                <w:color w:val="auto"/>
              </w:rPr>
            </w:pPr>
            <w:r>
              <w:rPr>
                <w:rFonts w:ascii="Arial" w:cs="Arial" w:eastAsia="Arial" w:hAnsi="Arial"/>
                <w:sz w:val="9"/>
                <w:szCs w:val="9"/>
                <w:b w:val="1"/>
                <w:bCs w:val="1"/>
                <w:color w:val="FFFFFF"/>
              </w:rPr>
              <w:t>administered by</w:t>
            </w: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15"/>
        </w:trPr>
        <w:tc>
          <w:tcPr>
            <w:tcW w:w="820" w:type="dxa"/>
            <w:vAlign w:val="bottom"/>
          </w:tcPr>
          <w:p>
            <w:pPr>
              <w:spacing w:after="0"/>
              <w:rPr>
                <w:sz w:val="20"/>
                <w:szCs w:val="20"/>
                <w:color w:val="auto"/>
              </w:rPr>
            </w:pPr>
            <w:r>
              <w:rPr>
                <w:rFonts w:ascii="Arial" w:cs="Arial" w:eastAsia="Arial" w:hAnsi="Arial"/>
                <w:sz w:val="9"/>
                <w:szCs w:val="9"/>
                <w:b w:val="1"/>
                <w:bCs w:val="1"/>
                <w:color w:val="FFFFFF"/>
              </w:rPr>
              <w:t>intracameral</w:t>
            </w: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8"/>
        </w:trPr>
        <w:tc>
          <w:tcPr>
            <w:tcW w:w="820" w:type="dxa"/>
            <w:vAlign w:val="bottom"/>
          </w:tcPr>
          <w:p>
            <w:pPr>
              <w:spacing w:after="0"/>
              <w:rPr>
                <w:sz w:val="20"/>
                <w:szCs w:val="20"/>
                <w:color w:val="auto"/>
              </w:rPr>
            </w:pPr>
            <w:r>
              <w:rPr>
                <w:rFonts w:ascii="Arial" w:cs="Arial" w:eastAsia="Arial" w:hAnsi="Arial"/>
                <w:sz w:val="9"/>
                <w:szCs w:val="9"/>
                <w:b w:val="1"/>
                <w:bCs w:val="1"/>
                <w:color w:val="FFFFFF"/>
              </w:rPr>
              <w:t>injection</w:t>
            </w: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355"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Glaucoma</w:t>
      </w:r>
    </w:p>
    <w:p>
      <w:pPr>
        <w:spacing w:after="0" w:line="26"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and ocular</w:t>
      </w:r>
    </w:p>
    <w:p>
      <w:pPr>
        <w:spacing w:after="0" w:line="26"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hypertension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42" w:lineRule="exact"/>
        <w:rPr>
          <w:sz w:val="20"/>
          <w:szCs w:val="20"/>
          <w:color w:val="auto"/>
        </w:rPr>
      </w:pPr>
    </w:p>
    <w:p>
      <w:pPr>
        <w:ind w:right="280" w:firstLine="489"/>
        <w:spacing w:after="0" w:line="260" w:lineRule="auto"/>
        <w:rPr>
          <w:sz w:val="20"/>
          <w:szCs w:val="20"/>
          <w:color w:val="auto"/>
        </w:rPr>
      </w:pPr>
      <w:r>
        <w:rPr>
          <w:rFonts w:ascii="Times New Roman" w:cs="Times New Roman" w:eastAsia="Times New Roman" w:hAnsi="Times New Roman"/>
          <w:sz w:val="20"/>
          <w:szCs w:val="20"/>
          <w:color w:val="auto"/>
        </w:rPr>
        <w:t>Our strategy is to redefine the retina experience by advancing AXPAXLI, our lead clinical asset, focusing specifically on our registrational programs for wet AMD and diabetic retinal disease, while we continue to build upon our experience in commercializing ophthalmology products. The key tactics of our strategy are:</w:t>
      </w:r>
    </w:p>
    <w:p>
      <w:pPr>
        <w:spacing w:after="0" w:line="200" w:lineRule="exact"/>
        <w:rPr>
          <w:sz w:val="20"/>
          <w:szCs w:val="20"/>
          <w:color w:val="auto"/>
        </w:rPr>
      </w:pPr>
    </w:p>
    <w:p>
      <w:pPr>
        <w:ind w:left="860" w:hanging="363"/>
        <w:spacing w:after="0"/>
        <w:tabs>
          <w:tab w:leader="none" w:pos="86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Advance our AXPAXLI registrational programs.</w:t>
      </w:r>
    </w:p>
    <w:p>
      <w:pPr>
        <w:spacing w:after="0" w:line="10" w:lineRule="exact"/>
        <w:rPr>
          <w:rFonts w:ascii="Arial" w:cs="Arial" w:eastAsia="Arial" w:hAnsi="Arial"/>
          <w:sz w:val="20"/>
          <w:szCs w:val="20"/>
          <w:color w:val="auto"/>
        </w:rPr>
      </w:pPr>
    </w:p>
    <w:p>
      <w:pPr>
        <w:ind w:left="1800" w:hanging="353"/>
        <w:spacing w:after="0"/>
        <w:tabs>
          <w:tab w:leader="none" w:pos="1800" w:val="left"/>
        </w:tabs>
        <w:numPr>
          <w:ilvl w:val="1"/>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Wet AMD:</w:t>
      </w:r>
    </w:p>
    <w:p>
      <w:pPr>
        <w:spacing w:after="0" w:line="252" w:lineRule="exact"/>
        <w:rPr>
          <w:rFonts w:ascii="Arial" w:cs="Arial" w:eastAsia="Arial" w:hAnsi="Arial"/>
          <w:sz w:val="20"/>
          <w:szCs w:val="20"/>
          <w:color w:val="auto"/>
        </w:rPr>
      </w:pPr>
    </w:p>
    <w:p>
      <w:pPr>
        <w:ind w:left="2160" w:right="480" w:hanging="353"/>
        <w:spacing w:after="0" w:line="253" w:lineRule="auto"/>
        <w:tabs>
          <w:tab w:leader="none" w:pos="2160" w:val="left"/>
        </w:tabs>
        <w:numPr>
          <w:ilvl w:val="2"/>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the SOL-1 Phase 3 clinical trial and expect to present 52 Week results at the 49th Macula Society Annual Meeting, taking place between February 25 – 28, 2026. All subjects have completed their Week 52 visit and have been re-dosed according to their baseline treatment assignment.</w:t>
      </w:r>
    </w:p>
    <w:p>
      <w:pPr>
        <w:spacing w:after="0" w:line="204" w:lineRule="exact"/>
        <w:rPr>
          <w:rFonts w:ascii="Arial" w:cs="Arial" w:eastAsia="Arial" w:hAnsi="Arial"/>
          <w:sz w:val="20"/>
          <w:szCs w:val="20"/>
          <w:color w:val="auto"/>
        </w:rPr>
      </w:pPr>
    </w:p>
    <w:p>
      <w:pPr>
        <w:ind w:left="2160" w:right="320" w:hanging="353"/>
        <w:spacing w:after="0" w:line="253" w:lineRule="auto"/>
        <w:tabs>
          <w:tab w:leader="none" w:pos="2160" w:val="left"/>
        </w:tabs>
        <w:numPr>
          <w:ilvl w:val="2"/>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Obtain additional clinical data from the continuation of the SOL-1 trial through the end of Week 104 and the continuation of the SOL-R Phase 3 clinical trial, for which we intend to report topline data on the primary efficacy endpoint in the first quarter of 2027, and the planned SOL-X trial, which we intend to initiate in the second quarter of 2026.</w:t>
      </w:r>
    </w:p>
    <w:p>
      <w:pPr>
        <w:spacing w:after="0" w:line="204" w:lineRule="exact"/>
        <w:rPr>
          <w:rFonts w:ascii="Arial" w:cs="Arial" w:eastAsia="Arial" w:hAnsi="Arial"/>
          <w:sz w:val="20"/>
          <w:szCs w:val="20"/>
          <w:color w:val="auto"/>
        </w:rPr>
      </w:pPr>
    </w:p>
    <w:p>
      <w:pPr>
        <w:ind w:left="2160" w:hanging="353"/>
        <w:spacing w:after="0" w:line="278" w:lineRule="auto"/>
        <w:tabs>
          <w:tab w:leader="none" w:pos="2160" w:val="left"/>
        </w:tabs>
        <w:numPr>
          <w:ilvl w:val="2"/>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Pending the receipt of favorable results from the SOL-1 trial and planned interactions with the FDA, we intend to submit a new drug application, or NDA, for AXPAXLI for the treatment</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720"/>
          </w:cols>
          <w:pgMar w:left="1080" w:top="1064" w:right="1080" w:bottom="0" w:gutter="0" w:footer="0" w:header="0"/>
          <w:type w:val="continuous"/>
        </w:sectPr>
      </w:pPr>
    </w:p>
    <w:bookmarkStart w:id="8" w:name="page9"/>
    <w:bookmarkEnd w:id="8"/>
    <w:p>
      <w:pPr>
        <w:ind w:left="2160" w:right="100"/>
        <w:spacing w:after="0" w:line="260" w:lineRule="auto"/>
        <w:rPr>
          <w:sz w:val="20"/>
          <w:szCs w:val="20"/>
          <w:color w:val="auto"/>
        </w:rPr>
      </w:pPr>
      <w:r>
        <w:rPr>
          <w:rFonts w:ascii="Times New Roman" w:cs="Times New Roman" w:eastAsia="Times New Roman" w:hAnsi="Times New Roman"/>
          <w:sz w:val="20"/>
          <w:szCs w:val="20"/>
          <w:color w:val="auto"/>
        </w:rPr>
        <w:t>of wet AMD based on SOL-1 Week 52 data. We also plan to leverage the 505(b)(2) approval pathway, which could potentially shorten the NDA review timeline for AXPAXLI by up to two months.</w:t>
      </w:r>
    </w:p>
    <w:p>
      <w:pPr>
        <w:spacing w:after="0" w:line="198" w:lineRule="exact"/>
        <w:rPr>
          <w:sz w:val="20"/>
          <w:szCs w:val="20"/>
          <w:color w:val="auto"/>
        </w:rPr>
      </w:pPr>
    </w:p>
    <w:p>
      <w:pPr>
        <w:ind w:left="1800" w:hanging="353"/>
        <w:spacing w:after="0"/>
        <w:tabs>
          <w:tab w:leader="none" w:pos="180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Diabetic Retinal Disease:</w:t>
      </w:r>
    </w:p>
    <w:p>
      <w:pPr>
        <w:spacing w:after="0" w:line="252" w:lineRule="exact"/>
        <w:rPr>
          <w:rFonts w:ascii="Arial" w:cs="Arial" w:eastAsia="Arial" w:hAnsi="Arial"/>
          <w:sz w:val="20"/>
          <w:szCs w:val="20"/>
          <w:color w:val="auto"/>
        </w:rPr>
      </w:pPr>
    </w:p>
    <w:p>
      <w:pPr>
        <w:ind w:left="2160" w:right="20" w:hanging="353"/>
        <w:spacing w:after="0" w:line="248" w:lineRule="auto"/>
        <w:tabs>
          <w:tab w:leader="none" w:pos="2160" w:val="left"/>
        </w:tabs>
        <w:numPr>
          <w:ilvl w:val="2"/>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plan to target a broad label in diabetic retinal disease by conducting the HELIOS registrational program in patients with moderately severe to severe NPDR and including subjects in the program who also have non-center-involved DME, or non-CI-DME, in addition to NPDR. We plan to refine our development plans and registration strategy for AXPAXLI for the treatment of diabetic retinal disease based on our anticipated discussions with the FDA regarding the regulatory pathway for AXPAXLI for the treatment of wet AMD.</w:t>
      </w:r>
    </w:p>
    <w:p>
      <w:pPr>
        <w:spacing w:after="0" w:line="211" w:lineRule="exact"/>
        <w:rPr>
          <w:rFonts w:ascii="Arial" w:cs="Arial" w:eastAsia="Arial" w:hAnsi="Arial"/>
          <w:sz w:val="20"/>
          <w:szCs w:val="20"/>
          <w:color w:val="auto"/>
        </w:rPr>
      </w:pPr>
    </w:p>
    <w:p>
      <w:pPr>
        <w:ind w:left="860" w:hanging="363"/>
        <w:spacing w:after="0"/>
        <w:tabs>
          <w:tab w:leader="none" w:pos="8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Scale up our commercialization and manufacturing capabilities.</w:t>
      </w:r>
    </w:p>
    <w:p>
      <w:pPr>
        <w:spacing w:after="0" w:line="9" w:lineRule="exact"/>
        <w:rPr>
          <w:rFonts w:ascii="Arial" w:cs="Arial" w:eastAsia="Arial" w:hAnsi="Arial"/>
          <w:sz w:val="20"/>
          <w:szCs w:val="20"/>
          <w:color w:val="auto"/>
        </w:rPr>
      </w:pPr>
    </w:p>
    <w:p>
      <w:pPr>
        <w:ind w:left="1800" w:hanging="353"/>
        <w:spacing w:after="0" w:line="248" w:lineRule="auto"/>
        <w:tabs>
          <w:tab w:leader="none" w:pos="180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Invest in infrastructure, including capital expenditures, to support initial expected commercial production levels of AXPAXLI, including continuing our efforts to transform our existing manufacturing facility at 15 Crosby Drive in Bedford, Massachusetts into a commercial manufacturing facility, and the build out of manufacturing processes for the device that is used to administer AXPAXLI to the eye together with third party contract manufacturing organizations, or CMOs.</w:t>
      </w:r>
    </w:p>
    <w:p>
      <w:pPr>
        <w:spacing w:after="0" w:line="211" w:lineRule="exact"/>
        <w:rPr>
          <w:rFonts w:ascii="Arial" w:cs="Arial" w:eastAsia="Arial" w:hAnsi="Arial"/>
          <w:sz w:val="20"/>
          <w:szCs w:val="20"/>
          <w:color w:val="auto"/>
        </w:rPr>
      </w:pPr>
    </w:p>
    <w:p>
      <w:pPr>
        <w:ind w:left="860" w:hanging="363"/>
        <w:spacing w:after="0"/>
        <w:tabs>
          <w:tab w:leader="none" w:pos="8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Advance pre-commercialization activities associated with AXPAXLI.</w:t>
      </w:r>
    </w:p>
    <w:p>
      <w:pPr>
        <w:spacing w:after="0" w:line="10" w:lineRule="exact"/>
        <w:rPr>
          <w:rFonts w:ascii="Arial" w:cs="Arial" w:eastAsia="Arial" w:hAnsi="Arial"/>
          <w:sz w:val="20"/>
          <w:szCs w:val="20"/>
          <w:color w:val="auto"/>
        </w:rPr>
      </w:pPr>
    </w:p>
    <w:p>
      <w:pPr>
        <w:ind w:left="1800" w:right="480" w:hanging="353"/>
        <w:spacing w:after="0" w:line="260" w:lineRule="auto"/>
        <w:tabs>
          <w:tab w:leader="none" w:pos="180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Continue and accelerate activities to expand our existing sales, marketing and distribution capabilities, currently used to market DEXTENZA, to prepare for commercialization of AXPAXLI, if approved, for the treatment of wet AMD as well as for diabetic retinal disease.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Portfolio</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Retinal Diseases</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Wet Aged-Related Macular Degeneration (Wet AMD)</w:t>
      </w:r>
    </w:p>
    <w:p>
      <w:pPr>
        <w:spacing w:after="0" w:line="236" w:lineRule="exact"/>
        <w:rPr>
          <w:sz w:val="20"/>
          <w:szCs w:val="20"/>
          <w:color w:val="auto"/>
        </w:rPr>
      </w:pPr>
    </w:p>
    <w:p>
      <w:pPr>
        <w:ind w:right="80" w:firstLine="489"/>
        <w:spacing w:after="0" w:line="246" w:lineRule="auto"/>
        <w:rPr>
          <w:sz w:val="20"/>
          <w:szCs w:val="20"/>
          <w:color w:val="auto"/>
        </w:rPr>
      </w:pPr>
      <w:r>
        <w:rPr>
          <w:rFonts w:ascii="Times New Roman" w:cs="Times New Roman" w:eastAsia="Times New Roman" w:hAnsi="Times New Roman"/>
          <w:sz w:val="20"/>
          <w:szCs w:val="20"/>
          <w:color w:val="auto"/>
        </w:rPr>
        <w:t>Wet AMD is a serious disease of the central portion of the retina, known as the macula, an oval-shaped pigmented area that is responsible for detailed central vision and color perception. Wet AMD is characterized by abnormal new blood vessel formation, referred to as neovascularization, which results in blood vessel leakage and retinal distortion. If untreated, neovascularization in wet AMD patients typically results in formation of a scar under the macular region of the retina. The current standard of care for wet AMD is treatment with drugs that target vascular endothelial growth factor, or VEGF, one of several proteins involved in neovascularization and hyper-permeability of established and new blood vessels.</w:t>
      </w:r>
    </w:p>
    <w:p>
      <w:pPr>
        <w:spacing w:after="0" w:line="199"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Wet AMD is the most common cause of visual impairment among patients over the age of 50 years in developed countries. According to the Market Scope 2025 Retina Report, there were approximately 14.8 million people globally and 1.7 million people in the United States who suffered from wet AMD in 2025, and this population is expected to grow at a 3.0% and 3.3% compound annual growth rate, or CAGR, respectively, through 2030.</w:t>
      </w:r>
    </w:p>
    <w:p>
      <w:pPr>
        <w:spacing w:after="0" w:line="190"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The market for the treatment of wet AMD consists predominantly of five anti-VEGF, drugs, including four drugs that are approved for marketing and primarily prescribed for the treatment of wet AMD: Eylea and Eylea HD, marketed in the United States by Regeneron; Lucentis, marketed in the United States by Genentech; Vabysmo, marketed in the United States by Genentech, and one drug, bevacizumab, also known as Avastin, an anti-VEGF therapy approved for the treatment of certain cancers, which is used off-label for the treatment of wet AMD.</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Diabetic Retinal Disease</w:t>
      </w:r>
    </w:p>
    <w:p>
      <w:pPr>
        <w:spacing w:after="0" w:line="237" w:lineRule="exact"/>
        <w:rPr>
          <w:sz w:val="20"/>
          <w:szCs w:val="20"/>
          <w:color w:val="auto"/>
        </w:rPr>
      </w:pPr>
    </w:p>
    <w:p>
      <w:pPr>
        <w:ind w:right="220" w:firstLine="490"/>
        <w:spacing w:after="0" w:line="280" w:lineRule="auto"/>
        <w:rPr>
          <w:sz w:val="20"/>
          <w:szCs w:val="20"/>
          <w:color w:val="auto"/>
        </w:rPr>
      </w:pPr>
      <w:r>
        <w:rPr>
          <w:rFonts w:ascii="Times New Roman" w:cs="Times New Roman" w:eastAsia="Times New Roman" w:hAnsi="Times New Roman"/>
          <w:sz w:val="20"/>
          <w:szCs w:val="20"/>
          <w:color w:val="auto"/>
        </w:rPr>
        <w:t>Diabetic retinal diseases are an increasingly prevalent global health concern, driven by the rapidly rising number of individuals diagnosed with diabetes each year.</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720"/>
          </w:cols>
          <w:pgMar w:left="1080" w:top="1064" w:right="1080" w:bottom="0" w:gutter="0" w:footer="0" w:header="0"/>
          <w:type w:val="continuous"/>
        </w:sectPr>
      </w:pPr>
    </w:p>
    <w:bookmarkStart w:id="9" w:name="page10"/>
    <w:bookmarkEnd w:id="9"/>
    <w:p>
      <w:pPr>
        <w:ind w:firstLine="489"/>
        <w:spacing w:after="0" w:line="245" w:lineRule="auto"/>
        <w:rPr>
          <w:sz w:val="20"/>
          <w:szCs w:val="20"/>
          <w:color w:val="auto"/>
        </w:rPr>
      </w:pPr>
      <w:r>
        <w:rPr>
          <w:rFonts w:ascii="Times New Roman" w:cs="Times New Roman" w:eastAsia="Times New Roman" w:hAnsi="Times New Roman"/>
          <w:sz w:val="20"/>
          <w:szCs w:val="20"/>
          <w:color w:val="auto"/>
        </w:rPr>
        <w:t>Diabetic retinopathy, or DR, is the most common category of retinal diseases, affecting over an estimated 103 million people worldwide. DR is a progressive condition in which retinal blood vessels are damaged following a cascade of events triggered by chronically elevated levels of blood glucose. As many as half of all diabetic patients are expected to develop some form of DR in their lifetime. DR can progress from the non-proliferative stages, or the NPDR stages, to the proliferative stage, or the PDR stage, characterized by the growth of abnormal new blood vessels. The severity of DR is commonly assessed using an objective severity score based on graded retinal images, which is referred to as the diabetic retinopathy severity score, or DRSS. Based on third-party market research data, we estimate that fewer than 1% of the 6.3 million NPDR patients in the U.S. receive treatment today, despite the availability of anti-VEGF therapies approved for the indication, largely due to the burden of frequent injections.</w:t>
      </w:r>
    </w:p>
    <w:p>
      <w:pPr>
        <w:spacing w:after="0" w:line="197"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DME is also a leading cause of vision loss in the working-age population. DME, the result of an accumulation of fluid in the macula that can afflict patients with diabetes, can occur at any stage of DR. In patients with DME, blood vessels in the eyes leak and bleed, and the retina starts to swell, which can cause vision loss or blindness. Anti-VEGF drugs are approved to treat DME, but these treatments typically require frequent intravitreal injections, placing a significant burden on patients and physicians alike. It is estimated that there were 6.3 million cases of NPDR and 1.7 million cases of DME in the United States in 2025 according to the Market Scope 2025 Retina Report, growing at a CAGR of 1.7% and 1.8%, respectively, through 2030.</w:t>
      </w:r>
    </w:p>
    <w:p>
      <w:pPr>
        <w:spacing w:after="0" w:line="201" w:lineRule="exact"/>
        <w:rPr>
          <w:sz w:val="20"/>
          <w:szCs w:val="20"/>
          <w:color w:val="auto"/>
        </w:rPr>
      </w:pPr>
    </w:p>
    <w:p>
      <w:pPr>
        <w:jc w:val="both"/>
        <w:ind w:right="240" w:firstLine="490"/>
        <w:spacing w:after="0" w:line="260" w:lineRule="auto"/>
        <w:rPr>
          <w:sz w:val="20"/>
          <w:szCs w:val="20"/>
          <w:color w:val="auto"/>
        </w:rPr>
      </w:pPr>
      <w:r>
        <w:rPr>
          <w:rFonts w:ascii="Times New Roman" w:cs="Times New Roman" w:eastAsia="Times New Roman" w:hAnsi="Times New Roman"/>
          <w:sz w:val="20"/>
          <w:szCs w:val="20"/>
          <w:color w:val="auto"/>
        </w:rPr>
        <w:t>The anti-VEGF market for the treatment of diabetic retinal disease consists predominantly of four drugs that are approved for different diabetic retinal disease indications (Lucentis, Eylea, Eylea HD, and Vabysmo). Avastin is also used off-label for the treatment of diabetic retinal disease.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Retinal Programs</w:t>
      </w: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AXPAXLI (axitinib intravitreal hydrogel)</w:t>
      </w:r>
    </w:p>
    <w:p>
      <w:pPr>
        <w:spacing w:after="0" w:line="238" w:lineRule="exact"/>
        <w:rPr>
          <w:sz w:val="20"/>
          <w:szCs w:val="20"/>
          <w:color w:val="auto"/>
        </w:rPr>
      </w:pPr>
    </w:p>
    <w:p>
      <w:pPr>
        <w:ind w:right="20" w:firstLine="489"/>
        <w:spacing w:after="0" w:line="260" w:lineRule="auto"/>
        <w:rPr>
          <w:sz w:val="20"/>
          <w:szCs w:val="20"/>
          <w:color w:val="auto"/>
        </w:rPr>
      </w:pPr>
      <w:r>
        <w:rPr>
          <w:rFonts w:ascii="Times New Roman" w:cs="Times New Roman" w:eastAsia="Times New Roman" w:hAnsi="Times New Roman"/>
          <w:sz w:val="20"/>
          <w:szCs w:val="20"/>
          <w:color w:val="auto"/>
        </w:rPr>
        <w:t>Our product candidate AXPAXLI is an investigational, bioresorbable hydrogel implant, based on our ELUTYX technology, incorporating axitinib, a small molecule, multi-target, tyrosine kinase inhibitor, or TKI, with anti-angiogenic properties. AXPAXLI is delivered by intravitreal injection and is designed for a duration of six months or longer.</w:t>
      </w:r>
    </w:p>
    <w:p>
      <w:pPr>
        <w:spacing w:after="0" w:line="183"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We believe axitinib is well-suited for use with our platform given its high potency, multi-target capability, and compatibility with a hydrogel vehicle. In the absence of a sophisticated drug delivery system, TKIs have been difficult to deliver to the eye for acceptable time frames at therapeutic levels without causing local and systemic toxicity due to low drug solubility, very short half-lives in solution, and off-target effects. We believe ELUTYX gives us potential advantages to address all three of these challenges. Our prolonged constant rate of axitinib delivery over a nine-to-twelve- month period could make it possible to reduce patients’ treatment burden by reducing the frequency of treatment for wet AMD.</w:t>
      </w:r>
    </w:p>
    <w:p>
      <w:pPr>
        <w:spacing w:after="0" w:line="201" w:lineRule="exact"/>
        <w:rPr>
          <w:sz w:val="20"/>
          <w:szCs w:val="20"/>
          <w:color w:val="auto"/>
        </w:rPr>
      </w:pPr>
    </w:p>
    <w:p>
      <w:pPr>
        <w:ind w:right="80" w:firstLine="489"/>
        <w:spacing w:after="0" w:line="248" w:lineRule="auto"/>
        <w:rPr>
          <w:sz w:val="20"/>
          <w:szCs w:val="20"/>
          <w:color w:val="auto"/>
        </w:rPr>
      </w:pPr>
      <w:r>
        <w:rPr>
          <w:rFonts w:ascii="Times New Roman" w:cs="Times New Roman" w:eastAsia="Times New Roman" w:hAnsi="Times New Roman"/>
          <w:sz w:val="20"/>
          <w:szCs w:val="20"/>
          <w:color w:val="auto"/>
        </w:rPr>
        <w:t>We conducted the two Phase 1 trials of AXPAXLI for the treatment of wet AMD with different formulations of axitinib. We are currently conducting the SOL-1, SOL-R and HELIOS-3 trials, and we plan to conduct the SOL-X trial and, if needed, the HELIOS-2 trial with a 450 µg axitinib dose of AXPAXLI, or AXPAXLI 450 µg, which is a different formulation than we used in either of the two Phase 1 trials of AXPAXLI that we have completed for the treatment of wet AMD. This optimized configuration provides for an increased daily release of the drug and improved synchronization of axitinib drug release with hydrogel bioresorption.</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700"/>
          </w:cols>
          <w:pgMar w:left="1080" w:top="1064" w:right="1100" w:bottom="0" w:gutter="0" w:footer="0" w:header="0"/>
          <w:type w:val="continuous"/>
        </w:sectPr>
      </w:pPr>
    </w:p>
    <w:bookmarkStart w:id="10" w:name="page11"/>
    <w:bookmarkEnd w:id="10"/>
    <w:p>
      <w:pPr>
        <w:ind w:left="500"/>
        <w:spacing w:after="0"/>
        <w:rPr>
          <w:sz w:val="20"/>
          <w:szCs w:val="20"/>
          <w:color w:val="auto"/>
        </w:rPr>
      </w:pPr>
      <w:r>
        <w:rPr>
          <w:rFonts w:ascii="Times New Roman" w:cs="Times New Roman" w:eastAsia="Times New Roman" w:hAnsi="Times New Roman"/>
          <w:sz w:val="20"/>
          <w:szCs w:val="20"/>
          <w:i w:val="1"/>
          <w:iCs w:val="1"/>
          <w:color w:val="auto"/>
        </w:rPr>
        <w:t>Wet Age-Related Macular Degeneration (Wet AMD)</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Highlights</w:t>
      </w:r>
    </w:p>
    <w:p>
      <w:pPr>
        <w:spacing w:after="0" w:line="237" w:lineRule="exact"/>
        <w:rPr>
          <w:sz w:val="20"/>
          <w:szCs w:val="20"/>
          <w:color w:val="auto"/>
        </w:rPr>
      </w:pPr>
    </w:p>
    <w:p>
      <w:pPr>
        <w:ind w:right="140" w:firstLine="489"/>
        <w:spacing w:after="0" w:line="245" w:lineRule="auto"/>
        <w:rPr>
          <w:sz w:val="20"/>
          <w:szCs w:val="20"/>
          <w:color w:val="auto"/>
        </w:rPr>
      </w:pPr>
      <w:r>
        <w:rPr>
          <w:rFonts w:ascii="Times New Roman" w:cs="Times New Roman" w:eastAsia="Times New Roman" w:hAnsi="Times New Roman"/>
          <w:sz w:val="20"/>
          <w:szCs w:val="20"/>
          <w:color w:val="auto"/>
        </w:rPr>
        <w:t>Our wet AMD registrational program for AXPAXLI is comprised of two ongoing complementary clinical trials, SOL-1 and SOL-R, which are strategically designed with the intent of de-risking subject populations, aligning with regulatory standards, and providing a broad evaluation of AXPAXLI’s durability, repeatability, and flexibility. In addition, in the second quarter of 2026, we plan to initiate a long-term extension study, which we refer to as the SOL-X trial, to evaluate the long-term safety of AXPAXLI; to explore long-term visual outcomes, including visual acuity and the incidence and/or progression of fibrosis and macular atrophy; and to evaluate the impact of delayed initiation of AXPAXLI in patients who initially were randomized to receive aflibercept in either SOL-1 or SOL-R. We have also conducted a Phase 1 clinical trial in Australia and a Phase 1 clinical trial in the United States to evaluate AXPAXLI for the treatment of wet AMD.</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The SOL-1 Trial</w:t>
      </w:r>
    </w:p>
    <w:p>
      <w:pPr>
        <w:spacing w:after="0" w:line="23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 xml:space="preserve">We are currently conducting the SOL-1 trial, a repeat-dosing registrational Phase 3 clinical trial for the treatment of wet AMD. The SOL-1 trial is designed as a prospective, multi-center, double-masked, randomized (1:1), parallel-group, two- arm superiority trial that involves more than 100 trial sites located in the United States and Argentina. The SOL-1 trial is designed as a superiority trial comparing a single injection of AXPAXLI 450 µg to a single injection of aflibercept 2 mg and assessing the safety and efficacy of AXPAXLI in subjects with wet AMD. The primary endpoint is the proportion of subjects who maintain visual acuity, defined as a Best Corrected Visual Acuity, or BCVA, loss of fewer than 15 letters on the Early Treatment of Diabetic Retinopathy Study, or ETDRS, letters chart from baseline at Week 36. One of the secondary endpoints being evaluated is the proportion of subjects who maintain visual acuity measured at Week 52. At Weeks 52 and 76, all subjects that were randomized in the trial at Day 1, including subjects who previously received supplemental anti-VEGF treatment, are re-dosed with their respective initial treatment of a single injection of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in the investigational arm or a single injection of aflibercept 2 mg in the control arm. Subjects will be followed for safety until the end of Week 104. We believe the design of the SOL-1 trial enhances the potential for a 6 - 12 month dosing label for AXPAXLI for the treatment of wet AMD and also provides insights into the long-term durability of AXPAXLI.</w:t>
      </w:r>
    </w:p>
    <w:p>
      <w:pPr>
        <w:spacing w:after="0" w:line="19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In December 2024, the SOL-1 trial completed randomization of 344 evaluable treatment-naïve subjects with a diagnosis of wet AMD in the study eye who have 20/80 vision or better and a central subfield thickness, or CSFT, of not more than 500 µm. Under the study protocol, after initial screening, every enrolled subject received two aflibercept 2 mg loading doses between the screening visit and Day 1: one at Week -8 and another at Week -4. Subjects reaching approximately 20/20 vision or experiencing an improvement of at least 10 ETDRS letters after these injections, in addition to satisfying other criteria, were randomized in the trial at Day 1 to receive either one dose of AXPAXLI 450 µg in the investigational arm or one injection of aflibercept 2 mg in the control arm. After all predefined visit assessments at Week 52 and at Week 76, all subjects that were randomized in the trial at Day 1, including subjects who previously received supplemental anti-VEGF treatment, are re-dosed with their respective initial treatment of a single dose of AXPAXLI 450 µg in the investigational arm or a single injection of aflibercept 2 mg in the control arm and followed for safety until Week 104. Throughout the trial, subjects are assessed monthly. Subjects who were successfully randomized in the SOL-1 trial on Day 1 are being followed every month and will receive a supplemental dose of aflibercept 2 mg as needed based on pre-specified criteria. Our pre- specified rescue criteria are a loss of 15 or more letters on the ETDRS chart compared to baseline due to wet AMD, or a new hemorrhage that is deemed to be likely to cause irreversible vision loss due to progression of wet AMD. The first time a subject is observed to have lost 15 or more ETDRS letters in BCVA in the study eye due to wet AMD at any time up to Week 36 in the trial would be considered as having met the endpoint as a treatment failure.</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 xml:space="preserve">We are conducting the SOL-1 trial in accordance with a SPA agreement with the FDA. We initially sought a SPA agreement from the FDA to determine whether the proposed clinical protocol and the statistical analysis plan for the SOL-1 trial adequately addressed scientific and regulatory requirements for a clinical trial that could support a marketing application. We received an agreement letter regarding the overall trial design from the FDA under the SPA agreement on October 30, 2023. In December 2023, we submitted a first SPA agreement modification to the FDA to broaden the inclusion criteria for subjects in the SOL-1 trial and to reflect our intention to evaluate a single optimized dose of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of a more soluble form of axitinib in the trial. We received an agreement letter regarding the first SPA agreement modification from the FDA on January 22, 2024. This first SPA agreement modification enabled us to include</w:t>
      </w:r>
    </w:p>
    <w:p>
      <w:pPr>
        <w:sectPr>
          <w:pgSz w:w="11880" w:h="15480" w:orient="portrait"/>
          <w:cols w:equalWidth="0" w:num="1">
            <w:col w:w="9720"/>
          </w:cols>
          <w:pgMar w:left="1080" w:top="1069" w:right="108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720"/>
          </w:cols>
          <w:pgMar w:left="1080" w:top="1069" w:right="1080" w:bottom="0" w:gutter="0" w:footer="0" w:header="0"/>
          <w:type w:val="continuous"/>
        </w:sectPr>
      </w:pPr>
    </w:p>
    <w:bookmarkStart w:id="11" w:name="page12"/>
    <w:bookmarkEnd w:id="11"/>
    <w:p>
      <w:pPr>
        <w:ind w:right="60" w:firstLine="1"/>
        <w:spacing w:after="0" w:line="244" w:lineRule="auto"/>
        <w:rPr>
          <w:sz w:val="20"/>
          <w:szCs w:val="20"/>
          <w:color w:val="auto"/>
        </w:rPr>
      </w:pPr>
      <w:r>
        <w:rPr>
          <w:rFonts w:ascii="Times New Roman" w:cs="Times New Roman" w:eastAsia="Times New Roman" w:hAnsi="Times New Roman"/>
          <w:sz w:val="20"/>
          <w:szCs w:val="20"/>
          <w:color w:val="auto"/>
        </w:rPr>
        <w:t>in the trial treatment-naïve wet AMD subjects with visual acuity of approximately 20/80 or better at the initial screening visit. These subjects then needed to reach the BCVA of approximately 20/20 or experience an improvement of at least 10 ETDRS letters gain from the initial screening visit at Day 1 to be randomized. In addition, the subjects were stratified between the two treatment groups at randomization based on BCVA category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71 and &gt;71 ETDRS letters) as of the initial screening visit. In January 2025, we submitted a subsequent SPA agreement modification to the FDA to add a repeat dose of AXPAXLI 450 µg at Week 52 and at Week 76, in each case, after all pre-defined efficacy endpoint assessments, to generate the required safety data for subjects re-dosed with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through Week 104, to support long-term dosing. We received an agreement letter regarding the second SPA agreement modification from the FDA on February 24, 2025.</w:t>
      </w:r>
    </w:p>
    <w:p>
      <w:pPr>
        <w:spacing w:after="0" w:line="204" w:lineRule="exact"/>
        <w:rPr>
          <w:sz w:val="20"/>
          <w:szCs w:val="20"/>
          <w:color w:val="auto"/>
        </w:rPr>
      </w:pPr>
    </w:p>
    <w:p>
      <w:pPr>
        <w:ind w:right="20" w:firstLine="489"/>
        <w:spacing w:after="0" w:line="253" w:lineRule="auto"/>
        <w:rPr>
          <w:sz w:val="20"/>
          <w:szCs w:val="20"/>
          <w:color w:val="auto"/>
        </w:rPr>
      </w:pPr>
      <w:r>
        <w:rPr>
          <w:rFonts w:ascii="Times New Roman" w:cs="Times New Roman" w:eastAsia="Times New Roman" w:hAnsi="Times New Roman"/>
          <w:sz w:val="20"/>
          <w:szCs w:val="20"/>
          <w:color w:val="auto"/>
        </w:rPr>
        <w:t>As of February 4, 2026, the SOL-1 trial continues to maintain an exceptional rate of subject retention and per protocol-defined treatment rescues. All subjects have completed their Week 52 visit and have been re-dosed according to their baseline treatment assignment. Oversight by an independent data and safety monitoring committee has not identified any safety signals in the SOL-1 trial to date.</w:t>
      </w:r>
    </w:p>
    <w:p>
      <w:pPr>
        <w:spacing w:after="0" w:line="191" w:lineRule="exact"/>
        <w:rPr>
          <w:sz w:val="20"/>
          <w:szCs w:val="20"/>
          <w:color w:val="auto"/>
        </w:rPr>
      </w:pPr>
    </w:p>
    <w:p>
      <w:pPr>
        <w:ind w:right="300" w:firstLine="489"/>
        <w:spacing w:after="0" w:line="280" w:lineRule="auto"/>
        <w:rPr>
          <w:sz w:val="20"/>
          <w:szCs w:val="20"/>
          <w:color w:val="auto"/>
        </w:rPr>
      </w:pPr>
      <w:r>
        <w:rPr>
          <w:rFonts w:ascii="Times New Roman" w:cs="Times New Roman" w:eastAsia="Times New Roman" w:hAnsi="Times New Roman"/>
          <w:sz w:val="20"/>
          <w:szCs w:val="20"/>
          <w:color w:val="auto"/>
        </w:rPr>
        <w:t>As of February 4, 2026, the results of the SOL-1 trial remain masked. We expect to present Week 52 results for the SOL-1 trial at the 49th Macula Society Annual Meeting, taking place between February 25 – 28, 2026.</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The SOL-R Trial</w:t>
      </w:r>
    </w:p>
    <w:p>
      <w:pPr>
        <w:spacing w:after="0" w:line="23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 xml:space="preserve">In June 2024, we initiated the SOL-R trial, a repeat-dosing registrational Phase 3 clinical trial for the treatment of wet AMD. The SOL-R trial is designed as a multi-center, double-masked, randomized (2:2:1), three-arm trial that involves sites located in the U.S., Argentina, India and Australia. This non-inferiority trial sought to enroll subjects that were either treatment naïve or had been diagnosed with wet AMD in the study eye within the prior four months. The trial design reflects a patient enrichment strategy over the six months prior to randomization that includes three screening and two loading doses of anti-VEGF therapy, including aflibercept 2 mg, and monitoring to exclude those subjects with early persistent fluid, showing CSFT of more than 350 microns, or significant retinal fluid fluctuations, showing CSFT increase of 35 microns or more from the lowest CSFT measurement at any prior visit. In the first arm, subjects will receive a dose of AXPAXLI 450 µg at Day 1 and be re-dosed with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at Weeks 24, 48, and every 24 weeks thereafter. In the second arm, subjects will receive aflibercept 2 mg on-label every 8 weeks. In the third arm, subjects will receive an 8 mg dose of aflibercept at Day 1 and will be re-dosed at Weeks 24, 48, and every 24 weeks thereafter, aligned with the AXPAXLI dosing regimen in the first arm and serving as adequate masking pursuant to current FDA guidance. Subjects will be followed for safety until Week 96. Throughout the trial, subjects are assessed monthly. The clinical trial protocol requires that, during the trial, subjects in any arm meeting pre-specified rescue criteria will receive a supplemental dose of aflibercept 2 mg. The pre-specified rescue criteria include a loss of more than 5 ETDRS letters in BCVA from best recorded prior visit (baseline or later) due to wet AMD, combined with an increase of 75 microns or more in CSFT from prior lowest measurement (baseline or later) due to wet AMD. The primary endpoint is non-inferiority in mean change in BCVA from baseline between the AXPAXLI and on-label aflibercept 2 mg arms at Week 56. As per the protocol agreed to by the FDA, the non-inferiority margin for the lower bound is -4.5 letters of mean BCVA when compared to aflibercept 2 mg dosed every eight weeks.</w:t>
      </w:r>
    </w:p>
    <w:p>
      <w:pPr>
        <w:spacing w:after="0" w:line="202" w:lineRule="exact"/>
        <w:rPr>
          <w:sz w:val="20"/>
          <w:szCs w:val="20"/>
          <w:color w:val="auto"/>
        </w:rPr>
      </w:pPr>
    </w:p>
    <w:p>
      <w:pPr>
        <w:ind w:right="100" w:firstLine="489"/>
        <w:spacing w:after="0" w:line="248" w:lineRule="auto"/>
        <w:rPr>
          <w:sz w:val="20"/>
          <w:szCs w:val="20"/>
          <w:color w:val="auto"/>
        </w:rPr>
      </w:pPr>
      <w:r>
        <w:rPr>
          <w:rFonts w:ascii="Times New Roman" w:cs="Times New Roman" w:eastAsia="Times New Roman" w:hAnsi="Times New Roman"/>
          <w:sz w:val="20"/>
          <w:szCs w:val="20"/>
          <w:color w:val="auto"/>
        </w:rPr>
        <w:t>The first subject was enrolled in the SOL-R trial in July 2024. In November 2025, we announced that the SOL-R trial had achieved its randomization target of 555 subjects. We continued to allow randomization of previously enrolled subjects that were still in the loading phase when we achieved target randomization to maintain our commitment to both patients and investigators. We have completed randomization of the SOL-R trial with 631 subjects randomized. We expect topline data from the SOL-R trial to be available in the first quarter of 2027, an acceleration from our previous guidance of the first half of 2027.</w:t>
      </w:r>
    </w:p>
    <w:p>
      <w:pPr>
        <w:spacing w:after="0" w:line="194" w:lineRule="exact"/>
        <w:rPr>
          <w:sz w:val="20"/>
          <w:szCs w:val="20"/>
          <w:color w:val="auto"/>
        </w:rPr>
      </w:pPr>
    </w:p>
    <w:p>
      <w:pPr>
        <w:ind w:right="240" w:firstLine="490"/>
        <w:spacing w:after="0" w:line="250" w:lineRule="auto"/>
        <w:rPr>
          <w:sz w:val="20"/>
          <w:szCs w:val="20"/>
          <w:color w:val="auto"/>
        </w:rPr>
      </w:pPr>
      <w:r>
        <w:rPr>
          <w:rFonts w:ascii="Times New Roman" w:cs="Times New Roman" w:eastAsia="Times New Roman" w:hAnsi="Times New Roman"/>
          <w:sz w:val="20"/>
          <w:szCs w:val="20"/>
          <w:color w:val="auto"/>
        </w:rPr>
        <w:t>In a written Type C response received in August 2024, and a subsequent written response received in December 2024, the FDA agreed that the SOL-R repeat dosing wet AMD trial, with a primary endpoint at Week 56, should be appropriate as an adequate and well-controlled trial in support of a potential NDA and product label for AXPAXLI for the treatment of wet AMD. At the time, the FDA also noted that the use of one superiority trial and one non-inferiority trial is generally acceptable as the basis of an eventual NDA in wet AMD.</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720"/>
          </w:cols>
          <w:pgMar w:left="1080" w:top="1064" w:right="1080" w:bottom="0" w:gutter="0" w:footer="0" w:header="0"/>
          <w:type w:val="continuous"/>
        </w:sectPr>
      </w:pPr>
    </w:p>
    <w:bookmarkStart w:id="12" w:name="page13"/>
    <w:bookmarkEnd w:id="12"/>
    <w:p>
      <w:pPr>
        <w:ind w:left="720"/>
        <w:spacing w:after="0"/>
        <w:rPr>
          <w:sz w:val="20"/>
          <w:szCs w:val="20"/>
          <w:color w:val="auto"/>
        </w:rPr>
      </w:pPr>
      <w:r>
        <w:rPr>
          <w:rFonts w:ascii="Times New Roman" w:cs="Times New Roman" w:eastAsia="Times New Roman" w:hAnsi="Times New Roman"/>
          <w:sz w:val="20"/>
          <w:szCs w:val="20"/>
          <w:i w:val="1"/>
          <w:iCs w:val="1"/>
          <w:color w:val="auto"/>
        </w:rPr>
        <w:t>The SOL-X Trial</w:t>
      </w:r>
    </w:p>
    <w:p>
      <w:pPr>
        <w:spacing w:after="0" w:line="23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 xml:space="preserve">We plan to initiate a multi-center, open -label long-term safety extension clinical trial, which we refer to as the SOL-X trial, in the second quarter of 2026 to evaluate subjects who have completed their two-year safety follow-up visits in either the SOL-1 or SOL-R trials for an additional three years. The primary objectives of the planned SOL-X trial are to evaluate the long-term safety of AXPAXLI; to explore long-term visual outcomes, including visual acuity and the incidence and/or progression of fibrosis and macular atrophy; and to evaluate the impact of delayed initiation of AXPAXLI in patients who initially were randomized to receive aflibercept in either SOL-1 or SOL-R. According to the planned trial design, subjects enrolled in the SOL-X trial are to receive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every 24 weeks and are to be evaluated at Week 4, Week 12, and every 12 weeks thereafter.</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Phase 1 Clinical Trial (Australia)</w:t>
      </w:r>
    </w:p>
    <w:p>
      <w:pPr>
        <w:spacing w:after="0" w:line="236" w:lineRule="exact"/>
        <w:rPr>
          <w:sz w:val="20"/>
          <w:szCs w:val="20"/>
          <w:color w:val="auto"/>
        </w:rPr>
      </w:pPr>
    </w:p>
    <w:p>
      <w:pPr>
        <w:ind w:right="240" w:firstLine="489"/>
        <w:spacing w:after="0" w:line="260" w:lineRule="auto"/>
        <w:rPr>
          <w:sz w:val="20"/>
          <w:szCs w:val="20"/>
          <w:color w:val="auto"/>
        </w:rPr>
      </w:pPr>
      <w:r>
        <w:rPr>
          <w:rFonts w:ascii="Times New Roman" w:cs="Times New Roman" w:eastAsia="Times New Roman" w:hAnsi="Times New Roman"/>
          <w:sz w:val="20"/>
          <w:szCs w:val="20"/>
          <w:color w:val="auto"/>
        </w:rPr>
        <w:t>We have conducted an open-label, multi-center, proof-of-concept, dose-escalation Phase 1 clinical trial of AXPAXLI for the treatment of patients with wet AMD. This Phase 1 clinical trial was designed to evaluate the safety, durability and tolerability of AXPAXLI. All subjects have completed this Phase 1 clinical trial.</w:t>
      </w:r>
    </w:p>
    <w:p>
      <w:pPr>
        <w:spacing w:after="0" w:line="18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Our Phase 1 clinical trial of AXPAXLI in Australia was submitted to the Therapeutic Goods Administration, Australia’s regulatory authority for therapeutic goods, in July 2018 and was being conducted at multiple sites in Australia. The Phase 1 clinical trial was comprised of four cohorts consisting of subjects with wet AMD and pre-existing intraretinal and/or subretinal fluid: a lower dose cohort of 200 µg with six subjects; a higher dose cohort of 400 µg with seven subjects; a third cohort with two parallel arms, one arm of four subjects receiving a concomitant anti-VEGF injection with 400 µg of AXPAXLI and the other arm of six subjects receiving a 600 µg of AXPAXLI with no anti-VEGF injection; and a fourth cohort with two parallel arms, one arm of one subject receiving a 600 µg single dose of AXPAXLI and the other arm of five subjects receiving a 600 µg single dose of AXPAXLI with anti-VEGF injection. In this trial, we evaluated whether AXPAXLI can reduce existing fluid levels.</w:t>
      </w:r>
    </w:p>
    <w:p>
      <w:pPr>
        <w:spacing w:after="0" w:line="197"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In the Phase 1 clinical trial of AXPAXLI conducted in Australia, we evaluated biological activity by measuring CSFT, using spectral domain optical coherence tomography, or OCT, and following visual acuity over time as measured by BCVA.</w:t>
      </w:r>
    </w:p>
    <w:p>
      <w:pPr>
        <w:spacing w:after="0" w:line="18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 xml:space="preserve">In the clinical trial, intravitreal injections of AXPAXLI at 200 </w:t>
      </w:r>
      <w:r>
        <w:rPr>
          <w:rFonts w:ascii="Arial" w:cs="Arial" w:eastAsia="Arial" w:hAnsi="Arial"/>
          <w:sz w:val="20"/>
          <w:szCs w:val="20"/>
          <w:color w:val="auto"/>
        </w:rPr>
        <w:t>μ</w:t>
      </w:r>
      <w:r>
        <w:rPr>
          <w:rFonts w:ascii="Times New Roman" w:cs="Times New Roman" w:eastAsia="Times New Roman" w:hAnsi="Times New Roman"/>
          <w:sz w:val="20"/>
          <w:szCs w:val="20"/>
          <w:color w:val="auto"/>
        </w:rPr>
        <w:t xml:space="preserve">g, 400 </w:t>
      </w:r>
      <w:r>
        <w:rPr>
          <w:rFonts w:ascii="Arial" w:cs="Arial" w:eastAsia="Arial" w:hAnsi="Arial"/>
          <w:sz w:val="20"/>
          <w:szCs w:val="20"/>
          <w:color w:val="auto"/>
        </w:rPr>
        <w:t>μ</w:t>
      </w:r>
      <w:r>
        <w:rPr>
          <w:rFonts w:ascii="Times New Roman" w:cs="Times New Roman" w:eastAsia="Times New Roman" w:hAnsi="Times New Roman"/>
          <w:sz w:val="20"/>
          <w:szCs w:val="20"/>
          <w:color w:val="auto"/>
        </w:rPr>
        <w:t xml:space="preserve">g, and 600 </w:t>
      </w:r>
      <w:r>
        <w:rPr>
          <w:rFonts w:ascii="Arial" w:cs="Arial" w:eastAsia="Arial" w:hAnsi="Arial"/>
          <w:sz w:val="20"/>
          <w:szCs w:val="20"/>
          <w:color w:val="auto"/>
        </w:rPr>
        <w:t>μ</w:t>
      </w:r>
      <w:r>
        <w:rPr>
          <w:rFonts w:ascii="Times New Roman" w:cs="Times New Roman" w:eastAsia="Times New Roman" w:hAnsi="Times New Roman"/>
          <w:sz w:val="20"/>
          <w:szCs w:val="20"/>
          <w:color w:val="auto"/>
        </w:rPr>
        <w:t xml:space="preserve">g, with and without concurrent administration of anti-VEGF, were generally well tolerated. There were no drug-related serious treatment-emergent adverse events reported in any of the AXPAXLI dose cohorts over the 9-month study period. Plasma levels of the active drug, axitinib, were below the limit of quantification at all doses, indicating that systemic exposure to intravitreal delivery of axitinib by AXPAXLI up to 600 </w:t>
      </w:r>
      <w:r>
        <w:rPr>
          <w:rFonts w:ascii="Arial" w:cs="Arial" w:eastAsia="Arial" w:hAnsi="Arial"/>
          <w:sz w:val="20"/>
          <w:szCs w:val="20"/>
          <w:color w:val="auto"/>
        </w:rPr>
        <w:t>μ</w:t>
      </w:r>
      <w:r>
        <w:rPr>
          <w:rFonts w:ascii="Times New Roman" w:cs="Times New Roman" w:eastAsia="Times New Roman" w:hAnsi="Times New Roman"/>
          <w:sz w:val="20"/>
          <w:szCs w:val="20"/>
          <w:color w:val="auto"/>
        </w:rPr>
        <w:t xml:space="preserve">g was negligible. This data also showed a preliminary signal of biological activity as observed by a clinically meaningful decrease in the volume of intraretinal and/or subretinal fluid as measured by high resolution OCT that provides cross-sectional images of the anatomical structure of the retina. Some subjects showed a decrease in intraretinal or subretinal fluid by two months in cohorts 2 (400 µg) and 3a (600 µg). In cohort 3b (400 µg dose plus anti-VEGF induction injection of aflibercept), two subjects showed a decrease in intraretinal or subretinal fluid as early as a week after treatment. We observed extended duration of activity of six months or more for over 60% of subjects across all cohorts and for over 80% of subjects in cohort 3a, in which we administered a 600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dose. In addition, the AXPAXLI doses in cohort 1 (200 µg single dose) were observed to have biodegraded in all subjects within nine to 10.5 months of injection. It has also been observed in the trial that the hydrogels were able to be adequately monitored and that there was limited to no movement of the hydrogel and no migration into the anterior chamber has occurred.</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Phase 1 Clinical Trial (United States)</w:t>
      </w:r>
    </w:p>
    <w:p>
      <w:pPr>
        <w:spacing w:after="0" w:line="236"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We have conducted a prospective, multi-center, randomized, controlled Phase 1 clinical trial in the United States to evaluate a single 600 µg dose of AXPAXLI with an anti-VEGF injection in comparison with a 2 mg dose of aflibercept. This trial was initiated under an exploratory investigational new drug, or eIND, application, and subsequently transitioned to a traditional investigational new drug, or IND, application. The population we studied in this U.S.-based clinical trial was different than the population we studied in our Phase 1 clinical trial of AXPAXLI in Australia. In this trial, we evaluated how long we are able to maintain subjects who have been previously treated with anti-VEGF therapy without the need for retreatment. All enrolled subjects have completed this Phase 1 clinical trial.</w:t>
      </w:r>
    </w:p>
    <w:p>
      <w:pPr>
        <w:sectPr>
          <w:pgSz w:w="11880" w:h="15480" w:orient="portrait"/>
          <w:cols w:equalWidth="0" w:num="1">
            <w:col w:w="9700"/>
          </w:cols>
          <w:pgMar w:left="1080" w:top="106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700"/>
          </w:cols>
          <w:pgMar w:left="1080" w:top="1069" w:right="1100" w:bottom="0" w:gutter="0" w:footer="0" w:header="0"/>
          <w:type w:val="continuous"/>
        </w:sectPr>
      </w:pPr>
    </w:p>
    <w:bookmarkStart w:id="13" w:name="page14"/>
    <w:bookmarkEnd w:id="13"/>
    <w:p>
      <w:pPr>
        <w:ind w:right="80" w:firstLine="489"/>
        <w:spacing w:after="0" w:line="250" w:lineRule="auto"/>
        <w:rPr>
          <w:sz w:val="20"/>
          <w:szCs w:val="20"/>
          <w:color w:val="auto"/>
        </w:rPr>
      </w:pPr>
      <w:r>
        <w:rPr>
          <w:rFonts w:ascii="Times New Roman" w:cs="Times New Roman" w:eastAsia="Times New Roman" w:hAnsi="Times New Roman"/>
          <w:sz w:val="20"/>
          <w:szCs w:val="20"/>
          <w:color w:val="auto"/>
        </w:rPr>
        <w:t>The trial enrolled a total of 21 subjects at six clinical sites, comprising two arms consisting of subjects previously treated with, and who were responsive to, standard of care anti-VEGF therapy: a 16 -subject arm receiving AXPAXLI in combination with a single anti-VEGF injection at month one and a five-subject arm receiving on-label aflibercept at eight-week intervals. The trial was designed to assess the safety, durability and tolerability of AXPAXLI as well as to assess preliminary biological activity in subjects by measuring anatomical and functional changes.</w:t>
      </w:r>
    </w:p>
    <w:p>
      <w:pPr>
        <w:spacing w:after="0" w:line="233"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In February 2023, we announced interim 10-month data from the Phase 1 clinical trial of AXPAXLI in the United States at the Angiogenesis, Exudation, and Degeneration 2023 Annual Meeting. As of the December 12, 2022 cut-off date, the interim data showed that the single 600 µg AXPAXLI dose was generally well tolerated with no drug-related ocular or systemic serious adverse events, or SAEs, observed through 10 months. One SAE of endophthalmitis was observed in the AXPAXLI arm which occurred following the aflibercept injection required by the clinical trial protocol at month one and was assessed by the investigator as related to the injection procedure. There were no instances of elevated intraocular pressure, or IOP, retinal detachment, retinal vasculitis, or hydrogel implant migration into the anterior chamber observed in the AXPAXLI arm, and no subjects had dropped out of either arm as of the data cutoff.</w:t>
      </w:r>
    </w:p>
    <w:p>
      <w:pPr>
        <w:spacing w:after="0" w:line="242" w:lineRule="exact"/>
        <w:rPr>
          <w:sz w:val="20"/>
          <w:szCs w:val="20"/>
          <w:color w:val="auto"/>
        </w:rPr>
      </w:pPr>
    </w:p>
    <w:p>
      <w:pPr>
        <w:ind w:right="60" w:firstLine="450"/>
        <w:spacing w:after="0" w:line="244" w:lineRule="auto"/>
        <w:rPr>
          <w:sz w:val="20"/>
          <w:szCs w:val="20"/>
          <w:color w:val="auto"/>
        </w:rPr>
      </w:pPr>
      <w:r>
        <w:rPr>
          <w:rFonts w:ascii="Times New Roman" w:cs="Times New Roman" w:eastAsia="Times New Roman" w:hAnsi="Times New Roman"/>
          <w:sz w:val="20"/>
          <w:szCs w:val="20"/>
          <w:color w:val="auto"/>
        </w:rPr>
        <w:t>The interim results showed subjects treated with a single AXPAXLI dose demonstrated stable and sustained BCVA (mean change from baseline of -0.3 letters) and CSFT (mean change from baseline of -1.3 µm) in the AXPAXLI arm at 10 months, which was comparable with the aflibercept arm (mean change from BCVA baseline of -0.8 letters; mean change from CSFT baseline of -4.5 µm). Up to Month 10, 73% of subjects remained rescue- free. Overall, a 92% reduction in treatment burden (average percent decrease in injections over the period compared to a standard monthly injection regimen) was observed in AXPAXLI treated subjects for up to 10 months. Four subjects were rescued in the AXPAXLI arm up to Month 10. One subject, the subject who experienced endophthalmitis, was rescued twice. None of these rescues met the pre-established rescue criteria set forth in the clinical trial protocol and were instead initiated at investigator discretion. One additional subject, who met the established rescue criteria at such subject’s Month 10 visit, was rescued at the end of Month 10.</w:t>
      </w:r>
    </w:p>
    <w:p>
      <w:pPr>
        <w:spacing w:after="0" w:line="24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20"/>
          <w:szCs w:val="20"/>
          <w:color w:val="auto"/>
        </w:rPr>
        <w:t>There was one subject randomized to the AXPAXLI arm who was inadvertently given aflibercept instead of sham injections at the subject’s month three and month five visits. Since this subject was not treated according to protocol, the subject was excluded from the analysis of biological activity, which comprised 15 out of the 16 subjects in the AXPAXLI arm and all five subjects in the aflibercept arm, but the subject was included in the safety analysis which comprised all 16 subjects in the AXPAXLI arm and all five subjects in the aflibercept arm.</w:t>
      </w:r>
    </w:p>
    <w:p>
      <w:pPr>
        <w:spacing w:after="0" w:line="233" w:lineRule="exact"/>
        <w:rPr>
          <w:sz w:val="20"/>
          <w:szCs w:val="20"/>
          <w:color w:val="auto"/>
        </w:rPr>
      </w:pPr>
    </w:p>
    <w:p>
      <w:pPr>
        <w:ind w:right="100" w:firstLine="450"/>
        <w:spacing w:after="0" w:line="244" w:lineRule="auto"/>
        <w:rPr>
          <w:sz w:val="20"/>
          <w:szCs w:val="20"/>
          <w:color w:val="auto"/>
        </w:rPr>
      </w:pPr>
      <w:r>
        <w:rPr>
          <w:rFonts w:ascii="Times New Roman" w:cs="Times New Roman" w:eastAsia="Times New Roman" w:hAnsi="Times New Roman"/>
          <w:sz w:val="20"/>
          <w:szCs w:val="20"/>
          <w:color w:val="auto"/>
        </w:rPr>
        <w:t>In April 2023, we presented data regarding the preclinical pharmacokinetics, or PK, of AXPAXLI and a review of the 10-month interim data from the ongoing Phase 1 clinical trial of AXPAXLI in the United States, including AXPAXLI resorption data to date. We augmented the results from our ongoing clinical trial with PK data in two animal models showing the uptake of axitinib from our hydrogel in the choroid and retinal pigment epithelium, or RPE, cells, where axitinib acts intra-cellularly to exert its VEGF receptor inhibiting effect. That data showed that clinically representative formulations of AXPAXLI delivered sustained axitinib concentrations through 12 months that were well above the IC50 for VEGFR-2 (vascular endothelial growth factor receptor) in cynomolgus monkey retina tissue and choroid/RPE tissues. This preclinical PK data aligns with the pharmacodynamics data we observed in our U.S. clinical trial, namely the high proportion of rescue-free subjects up to Month 10 and suggests that AXPAXLI may provide continuous VEGF receptor inhibition.</w:t>
      </w:r>
    </w:p>
    <w:p>
      <w:pPr>
        <w:spacing w:after="0" w:line="242" w:lineRule="exact"/>
        <w:rPr>
          <w:sz w:val="20"/>
          <w:szCs w:val="20"/>
          <w:color w:val="auto"/>
        </w:rPr>
      </w:pPr>
    </w:p>
    <w:p>
      <w:pPr>
        <w:ind w:firstLine="450"/>
        <w:spacing w:after="0" w:line="243" w:lineRule="auto"/>
        <w:rPr>
          <w:sz w:val="20"/>
          <w:szCs w:val="20"/>
          <w:color w:val="auto"/>
        </w:rPr>
      </w:pPr>
      <w:r>
        <w:rPr>
          <w:rFonts w:ascii="Times New Roman" w:cs="Times New Roman" w:eastAsia="Times New Roman" w:hAnsi="Times New Roman"/>
          <w:sz w:val="20"/>
          <w:szCs w:val="20"/>
          <w:color w:val="auto"/>
        </w:rPr>
        <w:t xml:space="preserve">In June 2023, we presented 12-month data from the ongoing Phase 1 clinical trial of AXPAXLI in the United States at the Clinical Trials at the Summit 2023 conference sponsored by the American Society of Retina Specialists. As of the April 14, 2023 cut-off date, there were no drug -related ocular or systemic SAEs observed in the AXPAXLI arm except for the one SAE of endophthalmitis following the aflibercept injection at month 1 that we had previously announced. There were no retinal detachment, retinal vasculitis, or hydrogel implant migration into the anterior chamber adverse events observed in the AXPAXLI arm, and no subjects had dropped out of either arm as of the data cut-off. The results showed subjects treated with a single AXPAXLI dose continued to demonstrate sustained BCVA (mean change from baseline of -1.0 letters) and CSFT (mean change from baseline of +20.2 </w:t>
      </w:r>
      <w:r>
        <w:rPr>
          <w:rFonts w:ascii="Arial" w:cs="Arial" w:eastAsia="Arial" w:hAnsi="Arial"/>
          <w:sz w:val="20"/>
          <w:szCs w:val="20"/>
          <w:color w:val="auto"/>
        </w:rPr>
        <w:t>μ</w:t>
      </w:r>
      <w:r>
        <w:rPr>
          <w:rFonts w:ascii="Times New Roman" w:cs="Times New Roman" w:eastAsia="Times New Roman" w:hAnsi="Times New Roman"/>
          <w:sz w:val="20"/>
          <w:szCs w:val="20"/>
          <w:color w:val="auto"/>
        </w:rPr>
        <w:t xml:space="preserve">m) in the AXPAXLI arm at 12 months, which was comparable with the aflibercept arm (mean change from BCVA baseline of +2.0 letters; mean change from CSFT baseline of -2.2 </w:t>
      </w:r>
      <w:r>
        <w:rPr>
          <w:rFonts w:ascii="Arial" w:cs="Arial" w:eastAsia="Arial" w:hAnsi="Arial"/>
          <w:sz w:val="20"/>
          <w:szCs w:val="20"/>
          <w:color w:val="auto"/>
        </w:rPr>
        <w:t>μ</w:t>
      </w:r>
      <w:r>
        <w:rPr>
          <w:rFonts w:ascii="Times New Roman" w:cs="Times New Roman" w:eastAsia="Times New Roman" w:hAnsi="Times New Roman"/>
          <w:sz w:val="20"/>
          <w:szCs w:val="20"/>
          <w:color w:val="auto"/>
        </w:rPr>
        <w:t>m). Sixty percent of AXPAXLI subjects were rescue -free up to Month 12. At the Month 12 visit, an additional four of the subjects were rescued. Overall, an 89% reduction in treatment burden was observed in AXPAXLI treated subjects at 12 months. These results align with our expectation that we would see a reactivation of</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700"/>
          </w:cols>
          <w:pgMar w:left="1080" w:top="1064" w:right="1100" w:bottom="0" w:gutter="0" w:footer="0" w:header="0"/>
          <w:type w:val="continuous"/>
        </w:sectPr>
      </w:pPr>
    </w:p>
    <w:bookmarkStart w:id="14" w:name="page15"/>
    <w:bookmarkEnd w:id="14"/>
    <w:p>
      <w:pPr>
        <w:ind w:right="440"/>
        <w:spacing w:after="0" w:line="280" w:lineRule="auto"/>
        <w:rPr>
          <w:sz w:val="20"/>
          <w:szCs w:val="20"/>
          <w:color w:val="auto"/>
        </w:rPr>
      </w:pPr>
      <w:r>
        <w:rPr>
          <w:rFonts w:ascii="Times New Roman" w:cs="Times New Roman" w:eastAsia="Times New Roman" w:hAnsi="Times New Roman"/>
          <w:sz w:val="20"/>
          <w:szCs w:val="20"/>
          <w:color w:val="auto"/>
        </w:rPr>
        <w:t>disease in some subjects, which we believe indicates that AXPAXLI continues to function as designed with axitinib concentrations beginning to fall below therapeutic levels after the hydrogel bioresorbs.</w:t>
      </w:r>
    </w:p>
    <w:p>
      <w:pPr>
        <w:spacing w:after="0" w:line="204" w:lineRule="exact"/>
        <w:rPr>
          <w:sz w:val="20"/>
          <w:szCs w:val="20"/>
          <w:color w:val="auto"/>
        </w:rPr>
      </w:pPr>
    </w:p>
    <w:p>
      <w:pPr>
        <w:ind w:right="40" w:firstLine="450"/>
        <w:spacing w:after="0" w:line="245" w:lineRule="auto"/>
        <w:rPr>
          <w:sz w:val="20"/>
          <w:szCs w:val="20"/>
          <w:color w:val="auto"/>
        </w:rPr>
      </w:pPr>
      <w:r>
        <w:rPr>
          <w:rFonts w:ascii="Times New Roman" w:cs="Times New Roman" w:eastAsia="Times New Roman" w:hAnsi="Times New Roman"/>
          <w:sz w:val="20"/>
          <w:szCs w:val="20"/>
          <w:color w:val="auto"/>
        </w:rPr>
        <w:t>In the clinical trial, intravitreal administration of single AXPAXLI 600 µg dose was generally well tolerated during the 52 weeks of the study. There were no drug-related ocular or systemic significant adverse events with either AXPAXLI or aflibercept treatment during 52 weeks of assessment. BCVA was stable after single AXPAXLI 600 µg dose administration and appeared similar to that of the aflibercept 2 mg administered every 8 weeks during 52 weeks of assessment. CSFT parameters were stable with AXPAXLI administration and appeared similar to that of the aflibercept 2 mg arm during 52 weeks of assessment. There were fewer injections over 52 weeks in subjects with AXPAXLI compared with the annualized number of anti-VEGF injections in 52 weeks prior to baseline. Furthermore, there were fewer injections over 52 weeks received in subjects from AXPAXLI treatment compared to those received in aflibercept 2 mg treatment arm.</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Next Steps</w:t>
      </w:r>
    </w:p>
    <w:p>
      <w:pPr>
        <w:spacing w:after="0" w:line="277"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20"/>
          <w:szCs w:val="20"/>
          <w:color w:val="auto"/>
        </w:rPr>
        <w:t>Pending the receipt of favorable results from the SOL-1 trial and planned interactions with the FDA, we intend to submit an NDA for AXPAXLI for the treatment of wet AMD based on Week 52 data from the SOL-1 trial, without necessarily waiting to receive additional clinical data from SOL-1, SOL-R or other clinical trials. Because axitinib is FDA- approved for non-ophthalmic indications, we plan to submit an NDA under Section 505(b)(2) of the Federal Food, Drug, and Cosmetic Act, or FDCA, which has the potential to shorten the review timeline for AXPAXLI by up to two months compared to the traditional review pathway for new molecular entities (see “—Government Regulation—Section 505(b)(2) NDAs” for additional information).</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Diabetic Retinal Disease</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Highlights</w:t>
      </w:r>
    </w:p>
    <w:p>
      <w:pPr>
        <w:spacing w:after="0" w:line="275" w:lineRule="exact"/>
        <w:rPr>
          <w:sz w:val="20"/>
          <w:szCs w:val="20"/>
          <w:color w:val="auto"/>
        </w:rPr>
      </w:pPr>
    </w:p>
    <w:p>
      <w:pPr>
        <w:ind w:right="120" w:firstLine="450"/>
        <w:spacing w:after="0" w:line="245" w:lineRule="auto"/>
        <w:rPr>
          <w:sz w:val="20"/>
          <w:szCs w:val="20"/>
          <w:color w:val="auto"/>
        </w:rPr>
      </w:pPr>
      <w:r>
        <w:rPr>
          <w:rFonts w:ascii="Times New Roman" w:cs="Times New Roman" w:eastAsia="Times New Roman" w:hAnsi="Times New Roman"/>
          <w:sz w:val="20"/>
          <w:szCs w:val="20"/>
          <w:color w:val="auto"/>
        </w:rPr>
        <w:t>We commenced our HELIOS registrational program for AXPAXLI for the treatment of diabetic retinal disease with the initiation of the Phase 3 HELIOS-3 superiority clinical trial for the treatment of NPDR in November 2025. Our potential second Phase 3 trial for the treatment of diabetic retinal disease, HELIOS-2, has not yet been initiated. Subject to the results of our anticipated discussions with the FDA regarding filing plans for AXPAXLI in wet AMD based on data from the SOL-1 trial only, we may elect to pursue a streamlined development approach in diabetic retinal disease, potentially advancing with only a single Phase 3 HELIOS-3 trial. The HELIOS registrational program targets a broad label in diabetic retinal disease by including subjects who also have non-CI-DME, in addition to NPDR. We have previously conducted the HELIOS-1 trial, a Phase 1 clinical trial to evaluate AXPAXLI for the treatment of NPDR, and which also included patients with non-CI-DME.</w:t>
      </w:r>
    </w:p>
    <w:p>
      <w:pPr>
        <w:spacing w:after="0" w:line="23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Our HELIOS registrational program employs a novel ordinal primary endpoint of 2 - step change status from baseline at Week 52 on the DRSS. Historically, DR trials have relied on binary endpoints measuring either an improvement of 2 or more steps in DRSS or the prevention of a 2 or more step DRSS worsening. In contrast, the ordinal endpoint we use in the HELIOS program measures changes across the DRSS spectrum, including disease improvement, stability, and worsening. These are all clinically meaningful measures for retina specialists in the context of a disease that gets progressively worse if untreated. The use of the novel ordinal endpoint means that every patient will contribute data to the statistical analysis, allowing for a smaller trial size to achieve statistically significant outcomes relative to the size required for a binary analysis. We believe the ordinal DRSS endpoint enables a higher probability of success with smaller, shorter, more relevant, and less expensive trials, relative to trials conducted utilizing other potential DRSS-based endpoints. Our use of an ordinal endpoint in the HELIOS program is the first time an ordinal endpoint has been used in DR trials.</w:t>
      </w:r>
    </w:p>
    <w:p>
      <w:pPr>
        <w:spacing w:after="0" w:line="237"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In August 2025, we received written agreement regarding the overall design of the HELIOS-2 trial, including the proposed novel ordinal endpoint and statistical analysis plan, from the FDA under a SPA agreement. The SPA agreement for HELIOS-2 has informed our design of the HELIOS-3 trial, as both trials were designed to use the same primary endpoint.</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720"/>
          </w:cols>
          <w:pgMar w:left="1080" w:top="1064" w:right="1080" w:bottom="0" w:gutter="0" w:footer="0" w:header="0"/>
          <w:type w:val="continuous"/>
        </w:sectPr>
      </w:pPr>
    </w:p>
    <w:bookmarkStart w:id="15" w:name="page16"/>
    <w:bookmarkEnd w:id="15"/>
    <w:p>
      <w:pPr>
        <w:ind w:left="720"/>
        <w:spacing w:after="0"/>
        <w:rPr>
          <w:sz w:val="20"/>
          <w:szCs w:val="20"/>
          <w:color w:val="auto"/>
        </w:rPr>
      </w:pPr>
      <w:r>
        <w:rPr>
          <w:rFonts w:ascii="Times New Roman" w:cs="Times New Roman" w:eastAsia="Times New Roman" w:hAnsi="Times New Roman"/>
          <w:sz w:val="20"/>
          <w:szCs w:val="20"/>
          <w:i w:val="1"/>
          <w:iCs w:val="1"/>
          <w:color w:val="auto"/>
        </w:rPr>
        <w:t>The HELIOS-3 Trial</w:t>
      </w:r>
    </w:p>
    <w:p>
      <w:pPr>
        <w:spacing w:after="0" w:line="236"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 xml:space="preserve">The ongoing HELIOS- 3 trial is evaluating the safety and efficacy of AXPAXLI and is intended to randomize approximately 930 subjects with moderately severe to severe NPDR without center-involved DME, or CI-DME. The HELIOS-3 trial is a multi-center, double-masked, randomized (1:1:1), three-arm superiority trial comparing two dosing regimens of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to a sham comparator. The trial is expected to include subjects with non-CI-DME.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Eligible subjects in the HELIOS-3 trial are randomized as follows: subjects in the first arm will receive a single</w:t>
      </w:r>
    </w:p>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injection of AXPAXLI 450 µg at Day 1 and will be re-dosed with AXPAXLI 450 µg at Week 24; subjects in the second arm will receive a single injection of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at Day 1 and a sham injection at Week 24; and subjects in the third arm will receive sham injections at both Day 1 and Week 24. Subjects will be assessed every three months throughout the trial, and subjects and designated trial personnel will remain masked through the end of Week 52.</w:t>
      </w:r>
    </w:p>
    <w:p>
      <w:pPr>
        <w:spacing w:after="0" w:line="229" w:lineRule="exact"/>
        <w:rPr>
          <w:sz w:val="20"/>
          <w:szCs w:val="20"/>
          <w:color w:val="auto"/>
        </w:rPr>
      </w:pPr>
    </w:p>
    <w:p>
      <w:pPr>
        <w:ind w:right="60" w:firstLine="490"/>
        <w:spacing w:after="0" w:line="260" w:lineRule="auto"/>
        <w:rPr>
          <w:sz w:val="20"/>
          <w:szCs w:val="20"/>
          <w:color w:val="auto"/>
        </w:rPr>
      </w:pPr>
      <w:r>
        <w:rPr>
          <w:rFonts w:ascii="Times New Roman" w:cs="Times New Roman" w:eastAsia="Times New Roman" w:hAnsi="Times New Roman"/>
          <w:sz w:val="20"/>
          <w:szCs w:val="20"/>
          <w:color w:val="auto"/>
        </w:rPr>
        <w:t>The primary endpoint of the HELIOS-3 clinical trial is subjects’ ordinal 2-step DRSS change status from baseline—comparing whether subjects have experienced at least a two-step improvement, at least a two-step worsening, or less than a two-step change in either direction—assessed at Week 52.</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On November 24, 2025, we announced that the first subject in the HELIOS-3 trial was randomized.</w:t>
      </w:r>
    </w:p>
    <w:p>
      <w:pPr>
        <w:spacing w:after="0" w:line="2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The HELIOS-2 Trial</w:t>
      </w:r>
    </w:p>
    <w:p>
      <w:pPr>
        <w:spacing w:after="0" w:line="27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 xml:space="preserve">We may decide to conduct a second Phase 3 clinical trial, HELIOS-2, to potentially provide enhanced support for a superiority label. The HELIOS-2 trial is designed to evaluate the safety and efficacy of AXPAXLI in approximately 432 subjects with moderately severe to severe NPDR without center-involved DME, or CI-DME. This multi-center, double-masked, superiority trial is designed to randomize subjects (1:1), in parallel-groups comparing a single injection of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to a single injection of ranibizumab 0.3 mg. We expect that this trial would also include subjects with non-CI-DME.</w:t>
      </w:r>
    </w:p>
    <w:p>
      <w:pPr>
        <w:spacing w:after="0" w:line="239"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 xml:space="preserve">According to the planned trial design, eligible subjects in the HELIOS-2 trial would be randomized to receive either a single dose of AXPAXLI 450 </w:t>
      </w:r>
      <w:r>
        <w:rPr>
          <w:rFonts w:ascii="Arial" w:cs="Arial" w:eastAsia="Arial" w:hAnsi="Arial"/>
          <w:sz w:val="20"/>
          <w:szCs w:val="20"/>
          <w:color w:val="auto"/>
        </w:rPr>
        <w:t>μ</w:t>
      </w:r>
      <w:r>
        <w:rPr>
          <w:rFonts w:ascii="Times New Roman" w:cs="Times New Roman" w:eastAsia="Times New Roman" w:hAnsi="Times New Roman"/>
          <w:sz w:val="20"/>
          <w:szCs w:val="20"/>
          <w:color w:val="auto"/>
        </w:rPr>
        <w:t>g or a single dose of ranibizumab 0.3 mg. At Week 52, all subjects that were randomized in the trial would be re-dosed with their respective initial treatments. Subjects would be assessed monthly through Year 1 and every other month thereafter for safety through the end of Year 2. Subjects and designated trial personnel would remain masked through the end of Year 2.</w:t>
      </w:r>
    </w:p>
    <w:p>
      <w:pPr>
        <w:spacing w:after="0" w:line="235" w:lineRule="exact"/>
        <w:rPr>
          <w:sz w:val="20"/>
          <w:szCs w:val="20"/>
          <w:color w:val="auto"/>
        </w:rPr>
      </w:pPr>
    </w:p>
    <w:p>
      <w:pPr>
        <w:ind w:right="80" w:firstLine="490"/>
        <w:spacing w:after="0" w:line="280" w:lineRule="auto"/>
        <w:rPr>
          <w:sz w:val="20"/>
          <w:szCs w:val="20"/>
          <w:color w:val="auto"/>
        </w:rPr>
      </w:pPr>
      <w:r>
        <w:rPr>
          <w:rFonts w:ascii="Times New Roman" w:cs="Times New Roman" w:eastAsia="Times New Roman" w:hAnsi="Times New Roman"/>
          <w:sz w:val="20"/>
          <w:szCs w:val="20"/>
          <w:color w:val="auto"/>
        </w:rPr>
        <w:t>The primary endpoint of the HELIOS-2 clinical trial would be identical to the primary endpoint of the HELIOS-3 trial, subjects’ ordinal 2-step DRSS change status from baseline as assessed at Week 52.</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HELIOS-1 Phase 1 Clinical Trial</w:t>
      </w:r>
    </w:p>
    <w:p>
      <w:pPr>
        <w:spacing w:after="0" w:line="237" w:lineRule="exact"/>
        <w:rPr>
          <w:sz w:val="20"/>
          <w:szCs w:val="20"/>
          <w:color w:val="auto"/>
        </w:rPr>
      </w:pPr>
    </w:p>
    <w:p>
      <w:pPr>
        <w:ind w:right="60" w:firstLine="489"/>
        <w:spacing w:after="0" w:line="245" w:lineRule="auto"/>
        <w:rPr>
          <w:sz w:val="20"/>
          <w:szCs w:val="20"/>
          <w:color w:val="auto"/>
        </w:rPr>
      </w:pPr>
      <w:r>
        <w:rPr>
          <w:rFonts w:ascii="Times New Roman" w:cs="Times New Roman" w:eastAsia="Times New Roman" w:hAnsi="Times New Roman"/>
          <w:sz w:val="20"/>
          <w:szCs w:val="20"/>
          <w:color w:val="auto"/>
        </w:rPr>
        <w:t>We have completed the HELIOS-1 trial, previously referred to as the “HELIOS” trial, a U.S.-based, multicenter, double-masked, randomized, parallel group Phase 1 clinical trial evaluating the safety, tolerability and efficacy of a single injection of an AXPAXLI 600 µg dose in subjects with moderately severe to severe NPDR without CI-DME. We conducted the HELIOS-1 trial initially under an eIND, which was subsequently converted to a traditional IND. We enrolled 22 subjects with diabetic retinopathy secondary to type 1 or type 2 diabetes who had not had an anti-VEGF injection in the prior 12 months or DME in the prior six months, randomized 2:1 to either a single dose of AXPAXLI containing 600 µg of axitinib or sham control. One subject died during the HELIOS-1 trial due to reasons unrelated to the trial and study treatment.</w:t>
      </w:r>
    </w:p>
    <w:p>
      <w:pPr>
        <w:spacing w:after="0" w:line="202"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auto"/>
        </w:rPr>
        <w:t>In June 2024, we announced topline data from the HELIOS-1 trial at 48 weeks. AXPAXLI was generally well-tolerated and did not result in any reported incidence of intraocular inflammation, iritis, vitritis, or vasculitis. No subjects in either arm received rescue medication. At week 48, six of 13 (46.2%) subjects in the AXPAXLI group experienced either a 1- or 2-step improvement in DRSS, with three of the 13 (23.1%) experiencing a 2-step improvement. No subjects in the control group showed a 1-step or greater improvement at the same timepoint. No subjects in the AXPAXLI group experienced any worsening in DRSS. Two of eight (25.0%) subjects in the control group experienced worsening in the DRSS at 48 weeks. No subjects in the AXPAXLI group developed PDR or CI-DME at week 48. Three of eight (37.5%) subjects in the control group developed PDR or CI-DME at the same timepoint. On average, subjects in</w:t>
      </w:r>
    </w:p>
    <w:p>
      <w:pPr>
        <w:sectPr>
          <w:pgSz w:w="11880" w:h="15480" w:orient="portrait"/>
          <w:cols w:equalWidth="0" w:num="1">
            <w:col w:w="9680"/>
          </w:cols>
          <w:pgMar w:left="1080" w:top="1069" w:right="112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680"/>
          </w:cols>
          <w:pgMar w:left="1080" w:top="1069" w:right="1120" w:bottom="0" w:gutter="0" w:footer="0" w:header="0"/>
          <w:type w:val="continuous"/>
        </w:sectPr>
      </w:pPr>
    </w:p>
    <w:bookmarkStart w:id="16" w:name="page17"/>
    <w:bookmarkEnd w:id="16"/>
    <w:p>
      <w:pPr>
        <w:ind w:right="180"/>
        <w:spacing w:after="0" w:line="280" w:lineRule="auto"/>
        <w:rPr>
          <w:sz w:val="20"/>
          <w:szCs w:val="20"/>
          <w:color w:val="auto"/>
        </w:rPr>
      </w:pPr>
      <w:r>
        <w:rPr>
          <w:rFonts w:ascii="Times New Roman" w:cs="Times New Roman" w:eastAsia="Times New Roman" w:hAnsi="Times New Roman"/>
          <w:sz w:val="20"/>
          <w:szCs w:val="20"/>
          <w:color w:val="auto"/>
        </w:rPr>
        <w:t>the AXPAXLI arm showed improvement in mean CSFT versus baseline compared to the control group, which showed worsening at the 48-week timepoint.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Next Steps</w:t>
      </w:r>
    </w:p>
    <w:p>
      <w:pPr>
        <w:spacing w:after="0" w:line="237"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If we were to obtain favorable results from the HELIOS registrational program, we expect to submit a supplemental NDA with the FDA, targeting a broad label for diabetic retinal disease. We plan to refine our development plans and planned regulatory pathway for AXPAXLI for the treatment of diabetic retinal disease based on our planned engagements with the FDA regarding the regulatory pathway for AXPAXLI for the treatment of wet AMD.</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Injector for AXPAXLI</w:t>
      </w:r>
    </w:p>
    <w:p>
      <w:pPr>
        <w:spacing w:after="0" w:line="236" w:lineRule="exact"/>
        <w:rPr>
          <w:sz w:val="20"/>
          <w:szCs w:val="20"/>
          <w:color w:val="auto"/>
        </w:rPr>
      </w:pPr>
    </w:p>
    <w:p>
      <w:pPr>
        <w:jc w:val="both"/>
        <w:ind w:right="20" w:firstLine="489"/>
        <w:spacing w:after="0" w:line="250" w:lineRule="auto"/>
        <w:rPr>
          <w:sz w:val="20"/>
          <w:szCs w:val="20"/>
          <w:color w:val="auto"/>
        </w:rPr>
      </w:pPr>
      <w:r>
        <w:rPr>
          <w:rFonts w:ascii="Times New Roman" w:cs="Times New Roman" w:eastAsia="Times New Roman" w:hAnsi="Times New Roman"/>
          <w:sz w:val="20"/>
          <w:szCs w:val="20"/>
          <w:color w:val="auto"/>
        </w:rPr>
        <w:t>AXPAXLI is administered to the eye using a sterile single-dose injector. All subjects in two of our Phase 1 trials of AXPAXLI, as well as most of the subjects in the SOL-1 trial and a small subset of subjects in the SOL-R trial were dosed with AXPAXLI using our two-piece injector. We plan to continue the SOL program with the two-piece injector to support our planned regulatory application with a single registrational trial for wet AMD and, if approved, our launch of AXPAXLI.</w:t>
      </w:r>
    </w:p>
    <w:p>
      <w:pPr>
        <w:spacing w:after="0" w:line="192" w:lineRule="exact"/>
        <w:rPr>
          <w:sz w:val="20"/>
          <w:szCs w:val="20"/>
          <w:color w:val="auto"/>
        </w:rPr>
      </w:pPr>
    </w:p>
    <w:p>
      <w:pPr>
        <w:ind w:right="560" w:firstLine="490"/>
        <w:spacing w:after="0" w:line="280" w:lineRule="auto"/>
        <w:rPr>
          <w:sz w:val="20"/>
          <w:szCs w:val="20"/>
          <w:color w:val="auto"/>
        </w:rPr>
      </w:pPr>
      <w:r>
        <w:rPr>
          <w:rFonts w:ascii="Times New Roman" w:cs="Times New Roman" w:eastAsia="Times New Roman" w:hAnsi="Times New Roman"/>
          <w:sz w:val="20"/>
          <w:szCs w:val="20"/>
          <w:color w:val="auto"/>
        </w:rPr>
        <w:t>As a future lifecycle initiative for AXPAXLI, we may continue development of a next-generation one-piece injector which was used to dose AXPAXLI to a subset of subjects in both the SOL-1 and SOL-R trials.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Glaucoma</w:t>
      </w:r>
    </w:p>
    <w:p>
      <w:pPr>
        <w:spacing w:after="0" w:line="238"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Glaucoma is a progressive and highly individualized disease in which elevated levels of IOP are associated with damage to the optic nerve, which results in irreversible vision loss. According to the World Health Organization, glaucoma is the second leading cause of blindness in the world. OHT is characterized by elevated levels of IOP without any optic nerve damage. Patients with OHT are at high risk of developing glaucoma.</w:t>
      </w:r>
    </w:p>
    <w:p>
      <w:pPr>
        <w:spacing w:after="0" w:line="191" w:lineRule="exact"/>
        <w:rPr>
          <w:sz w:val="20"/>
          <w:szCs w:val="20"/>
          <w:color w:val="auto"/>
        </w:rPr>
      </w:pPr>
    </w:p>
    <w:p>
      <w:pPr>
        <w:ind w:firstLine="489"/>
        <w:spacing w:after="0" w:line="250" w:lineRule="auto"/>
        <w:rPr>
          <w:sz w:val="20"/>
          <w:szCs w:val="20"/>
          <w:color w:val="auto"/>
        </w:rPr>
      </w:pPr>
      <w:r>
        <w:rPr>
          <w:rFonts w:ascii="Times New Roman" w:cs="Times New Roman" w:eastAsia="Times New Roman" w:hAnsi="Times New Roman"/>
          <w:sz w:val="20"/>
          <w:szCs w:val="20"/>
          <w:color w:val="auto"/>
        </w:rPr>
        <w:t>In a healthy eye, fluid is continuously produced and drained to maintain pressure equilibrium and provide nutrients to the ocular tissue. Excess fluid production or insufficient drainage of fluid in the front of the eye or a combination of these problems causes increased IOP. The increased IOP associated with uncontrolled glaucoma results in degeneration of the optic nerve in the back of the eye and loss of peripheral vision. Once glaucoma develops, it is a chronic condition that requires life-long treatment.</w:t>
      </w:r>
    </w:p>
    <w:p>
      <w:pPr>
        <w:spacing w:after="0" w:line="19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According to the Market Scope 2024 Glaucoma Pharmaceuticals Market Report, or the Market Scope 2024 Glaucoma Report, it is estimated that there were 130.2 million people globally in 2024 with primary OAG or OHT. In the United States, it is estimated there were 6.8 million and 3.7 million who had primary OAG or OHT, respectively. The primary goal of glaucoma treatment is to slow the progression of this chronic disease by reducing IOP, and many medications can accomplish this. Importantly, however, adherence to current topical glaucoma therapies is known to be particularly poor with reported rates of non-adherence from 30% to 80%. These low compliance rates may be associated with disease progression and loss of vision and may be part of the reason that glaucoma is a leading cause of blindness in people over 60 years of age. Prostaglandins are the most commonly used class of medications to treat patients with glaucoma and are administered via daily eye drops as the current standard of care. The ability of patients to use and place daily eye drops is challenging. The product candidates that we are developing are designed to address the issue of compliance by delivering a prostaglandin analog, or PGA, formulated with our programmed release hydrogel to lower IOP for several months with a single insert.</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Market Data</w:t>
      </w:r>
    </w:p>
    <w:p>
      <w:pPr>
        <w:spacing w:after="0" w:line="237"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According to the Market Scope 2024 Glaucoma Report, the global market for glaucoma was estimated at $4.2 billion in 2024 with the U.S. market representing $1.6 billion. The global market is estimated to grow at a 4.7% CAGR through 2029 while the U.S. market is expected to grow at a 3.7% CAGR through 2029.</w:t>
      </w:r>
    </w:p>
    <w:p>
      <w:pPr>
        <w:spacing w:after="0" w:line="184" w:lineRule="exact"/>
        <w:rPr>
          <w:sz w:val="20"/>
          <w:szCs w:val="20"/>
          <w:color w:val="auto"/>
        </w:rPr>
      </w:pPr>
    </w:p>
    <w:p>
      <w:pPr>
        <w:ind w:right="180" w:firstLine="489"/>
        <w:spacing w:after="0" w:line="280" w:lineRule="auto"/>
        <w:rPr>
          <w:sz w:val="20"/>
          <w:szCs w:val="20"/>
          <w:color w:val="auto"/>
        </w:rPr>
      </w:pPr>
      <w:r>
        <w:rPr>
          <w:rFonts w:ascii="Times New Roman" w:cs="Times New Roman" w:eastAsia="Times New Roman" w:hAnsi="Times New Roman"/>
          <w:sz w:val="19"/>
          <w:szCs w:val="19"/>
          <w:color w:val="auto"/>
        </w:rPr>
        <w:t>The most commonly used treatments for glaucoma in the United States are topical eye drops including both branded and generic products. Branded products have maintained premium pricing and significant market share. These products include Lumigan (bimatoprost) marketed by Allergan, Travatan Z (travoprost) marketed by Novartis, Tapros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700"/>
          </w:cols>
          <w:pgMar w:left="1080" w:top="1064" w:right="1100" w:bottom="0" w:gutter="0" w:footer="0" w:header="0"/>
          <w:type w:val="continuous"/>
        </w:sectPr>
      </w:pPr>
    </w:p>
    <w:bookmarkStart w:id="17" w:name="page18"/>
    <w:bookmarkEnd w:id="17"/>
    <w:p>
      <w:pPr>
        <w:ind w:right="280"/>
        <w:spacing w:after="0" w:line="280" w:lineRule="auto"/>
        <w:rPr>
          <w:sz w:val="20"/>
          <w:szCs w:val="20"/>
          <w:color w:val="auto"/>
        </w:rPr>
      </w:pPr>
      <w:r>
        <w:rPr>
          <w:rFonts w:ascii="Times New Roman" w:cs="Times New Roman" w:eastAsia="Times New Roman" w:hAnsi="Times New Roman"/>
          <w:sz w:val="20"/>
          <w:szCs w:val="20"/>
          <w:color w:val="auto"/>
        </w:rPr>
        <w:t>marketed by Santen, and recently approved Miebo (perfluorohexyloctane ophthalmic solution) marketed by Bausch + Lomb. Commonly used generic drugs include latanoprost and timolol.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Glaucoma Program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OTX-TIC (travoprost intracameral hydrogel)</w:t>
      </w:r>
    </w:p>
    <w:p>
      <w:pPr>
        <w:spacing w:after="0" w:line="236"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20"/>
          <w:szCs w:val="20"/>
          <w:color w:val="auto"/>
        </w:rPr>
        <w:t>Our product candidate OTX-TIC is a bioresorbable hydrogel implant based on ELUTYX, incorporating travoprost, an FDA-approved PGA designed to lower elevated IOP, that is designed to be administered by a physician as an intracameral injection with an initial target duration of drug release of four to six months with a single treatment.</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Phase 2 Clinical Trial</w:t>
      </w:r>
    </w:p>
    <w:p>
      <w:pPr>
        <w:spacing w:after="0" w:line="23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have completed a U.S.-based Phase 2 prospective, multi-center, randomized, controlled clinical trial evaluating the safety, tolerability and efficacy of OTX -TIC for the treatment of subjects with primary OAG or OHT under an IND, which consisted of a primary study and a pilot repeat-dose sub-study. The Phase 2 clinical trial was initially designed to include approximately 105 subjects at 15 to 20 sites between three arms of approximately 35 subjects each to evaluate two formulations of OTX-TIC for the treatment of OAG or OHT in subjects compared to DURYSTA. The non-study eye of each subject received a topical PGA daily, if not contraindicated. The primary efficacy endpoint was measured by mean change from baseline (8 a.m., 10 a.m. and 4 p.m.) at 2, 6 and 12 weeks in diurnal IOP. The active comparator control arm received one injection of DURYSTA in one eye and a topical PGA daily in the non-study eye, if not contraindicated.</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initiated the Phase 2 clinical trial in the fourth quarter of 2021 and dosed the first subject in the first quarter of</w:t>
      </w:r>
    </w:p>
    <w:p>
      <w:pPr>
        <w:ind w:right="20"/>
        <w:spacing w:after="0" w:line="248" w:lineRule="auto"/>
        <w:rPr>
          <w:sz w:val="20"/>
          <w:szCs w:val="20"/>
          <w:color w:val="auto"/>
        </w:rPr>
      </w:pPr>
      <w:r>
        <w:rPr>
          <w:rFonts w:ascii="Times New Roman" w:cs="Times New Roman" w:eastAsia="Times New Roman" w:hAnsi="Times New Roman"/>
          <w:sz w:val="20"/>
          <w:szCs w:val="20"/>
          <w:color w:val="auto"/>
        </w:rPr>
        <w:t>2022. One arm in the Phase 2 clinical trial received the same formulation used in cohort 2 of the Phase 1 clinical trial of OTX-TIC that we conducted, containing a 26 µg dose of travoprost and utilizing a standard hydrogel. The second arm received the same formulation used in cohort 4 of the Phase 1 clinical trial, containing a 5 µg dose of drug and utilizing a fast -degrading hydrogel. Due to elevations in IOP observed in six subjects approximately 12 weeks after enrollment in the OTX-TIC 5 µg arm of the trial, we terminated enrollment in the 5 µg arm of the trial in the fourth quarter of 2022 and continued with the OTX-TIC 26 µg and DURYSTA arms of the trial.</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Phase 2 clinical trial primary study consisted of 83 subjects: 33 subjects in the OTX-TIC 26 µg treatment arm, 34 subjects in the DURYSTA arm and 16 subjects that were previously enrolled in the OTX-TIC 5 µg treatment arm. Enrollment of the Phase 2 clinical trial was completed in July 2023. In April 2024, we presented 6-month topline data from this Phase 2 clinical trial at the 2024 American Society of Cataract and Refractive Surgery Annual Meeting. In the trial, the OTX-TIC 26 µg single hydrogel implant demonstrated consistent control of IOP, through six months, as statistically significant IOP changes from baseline were observed for every individual and mean diurnal measurement at primary endpoints Week 2 (M0.5), Week 6 (M1.5), and Week 12 (M3), as well as secondary endpoints Months 4.5 and 6 (p&lt;0.0001), although no formal statistical testing was prespecified by the clinical trial protocol. Clinically meaningful mean IOP reduction of approximately 24-30% from baseline over six months was observed. A majority (81.3%) of treated eyes did not require additional IOP-lowering therapy through six months, indicating sustained and consistent treatment effects.</w:t>
      </w:r>
    </w:p>
    <w:p>
      <w:pPr>
        <w:spacing w:after="0" w:line="198"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OTX-TIC 26 µg was generally well tolerated with no impact on the corneal endothelium having been observed at six months following a single administration of the product candidate. The majority of adverse events, observed were mild in severity and generally resolved with topical medical treatment. Most ocular adverse events occurring within three days of the injection were deemed related to the injection procedure by the investigators. Adverse events observed more than three days post-injection procedure were consistent with the travoprost label. There was one serious adverse event in the trial, where a hydrogel implant required removal, which the investigator assessed to be likely due to a peri-implantation bacterial infection. Consistent bioresorption of the hydrogel implant coupled with the durable effect observed in the Phase 2 trial suggests redosing could be possible without the risk of implants stacking.</w:t>
      </w:r>
    </w:p>
    <w:p>
      <w:pPr>
        <w:spacing w:after="0" w:line="202"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 xml:space="preserve">We completed the pilot repeat-dose sub-study in a subset of subjects from our Phase 2 clinical trial of OTX-TIC to evaluate the safety of a repeat, sustained release dose of OTX-TIC 26 µg. Subjects in the primary Phase 2 study who had received either OTX-TIC 26 </w:t>
      </w:r>
      <w:r>
        <w:rPr>
          <w:rFonts w:ascii="Arial" w:cs="Arial" w:eastAsia="Arial" w:hAnsi="Arial"/>
          <w:sz w:val="20"/>
          <w:szCs w:val="20"/>
          <w:color w:val="auto"/>
        </w:rPr>
        <w:t>μ</w:t>
      </w:r>
      <w:r>
        <w:rPr>
          <w:rFonts w:ascii="Times New Roman" w:cs="Times New Roman" w:eastAsia="Times New Roman" w:hAnsi="Times New Roman"/>
          <w:sz w:val="20"/>
          <w:szCs w:val="20"/>
          <w:color w:val="auto"/>
        </w:rPr>
        <w:t xml:space="preserve">g or DURYSTA and who did not require rescue therapy during the primary study (prior to Visit 10) were eligible to participate in the repeat dose sub- study. Subjects who had received OTX-TIC 26 µg in the primary study received a repeat-dose of OTX-TIC 26 </w:t>
      </w:r>
      <w:r>
        <w:rPr>
          <w:rFonts w:ascii="Arial" w:cs="Arial" w:eastAsia="Arial" w:hAnsi="Arial"/>
          <w:sz w:val="20"/>
          <w:szCs w:val="20"/>
          <w:color w:val="auto"/>
        </w:rPr>
        <w:t>μ</w:t>
      </w:r>
      <w:r>
        <w:rPr>
          <w:rFonts w:ascii="Times New Roman" w:cs="Times New Roman" w:eastAsia="Times New Roman" w:hAnsi="Times New Roman"/>
          <w:sz w:val="20"/>
          <w:szCs w:val="20"/>
          <w:color w:val="auto"/>
        </w:rPr>
        <w:t>g in the sub-study once the initial dose of OTX-TIC from the</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720"/>
          </w:cols>
          <w:pgMar w:left="1080" w:top="1064" w:right="1080" w:bottom="0" w:gutter="0" w:footer="0" w:header="0"/>
          <w:type w:val="continuous"/>
        </w:sectPr>
      </w:pPr>
    </w:p>
    <w:bookmarkStart w:id="18" w:name="page19"/>
    <w:bookmarkEnd w:id="18"/>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primary study had fully reabsorbed (6 patients at sub-study enrollment; 3 additional patients received sham at sub-study enrollment and OTX-TIC 26 </w:t>
      </w:r>
      <w:r>
        <w:rPr>
          <w:rFonts w:ascii="Arial" w:cs="Arial" w:eastAsia="Arial" w:hAnsi="Arial"/>
          <w:sz w:val="20"/>
          <w:szCs w:val="20"/>
          <w:color w:val="auto"/>
        </w:rPr>
        <w:t>μ</w:t>
      </w:r>
      <w:r>
        <w:rPr>
          <w:rFonts w:ascii="Times New Roman" w:cs="Times New Roman" w:eastAsia="Times New Roman" w:hAnsi="Times New Roman"/>
          <w:sz w:val="20"/>
          <w:szCs w:val="20"/>
          <w:color w:val="auto"/>
        </w:rPr>
        <w:t>g at a later study visit following full reabsorption). As DURYSTA cannot be administered more than once in the same eye, there were 16 subjects who received DURYSTA in the primary study who received sham in their assigned study eye in the repeat- dose sub-study. Subjects were followed for at least six months after their enrollment in the sub-study and repeat dosing with OTX-TIC 26 µg or sham.</w:t>
      </w:r>
    </w:p>
    <w:p>
      <w:pPr>
        <w:spacing w:after="0" w:line="19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Data from the sub-study were consistent with data previously observed in the OTX-TIC primary study. We observed a decrease from baseline (Day 0, Visit 2 of the primary study) in mean intraocular pressure, or IOP, values at 8 AM, 10 AM, and 4 PM at all repeat-dose post-injection visits in the study eye in the OTX-TIC 26 µg group and sham group, with mean IOP values similar or lower than those seen at Month 6 of the primary study. During the repeat-dose sub-study, the mean decrease in diurnal IOP values from baseline was greater at all time points for subjects who received a repeat-dose of OTX- TIC than for subjects who received DURYSTA in the main study and a sham injection in the repeat-dose sub-study.</w:t>
      </w:r>
    </w:p>
    <w:p>
      <w:pPr>
        <w:spacing w:after="0" w:line="199"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20"/>
          <w:szCs w:val="20"/>
          <w:color w:val="auto"/>
        </w:rPr>
        <w:t>OTX- TIC 26 µg was generally well tolerated after both single and repeat dosing in patients with OAG or OHT. In addition, no new safety concerns were identified following repeat-dosing of OTX-TIC 26 µg in the small subset of subjects who participated in the sub-study.</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Phase 1 Clinical Development</w:t>
      </w:r>
    </w:p>
    <w:p>
      <w:pPr>
        <w:spacing w:after="0" w:line="23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We submitted an IND for OTX-TIC in February 2018 and have completed a prospective, multi-center, open-label, dose-escalation, proof-of-concept Phase 1 clinical trial of OTX-TIC in the United States that we initiated in the second quarter of 2018 for the treatment of subjects with moderate to severe glaucoma or OHT. The clinical trial is designed to evaluate the safety, biological activity, durability and tolerability of OTX-TIC in subjects with controlled OAG or OHT. The clinical trial consisted of four subject cohorts: cohort 1 included five subjects who received a 15 µg dose, cohort 2 included four subjects who received a 26 µg dose, cohort 3 included five subjects who received a 15 µg dose with a fast-degrading hydrogel, and cohort 4 included five subjects who received a 5 µg dose with a fast-degrading hydrogel.</w:t>
      </w:r>
    </w:p>
    <w:p>
      <w:pPr>
        <w:spacing w:after="0" w:line="199"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auto"/>
        </w:rPr>
        <w:t>In February 2022, at the Glaucoma 360 virtual meeting, we presented interim results from all four subject cohorts in the Phase 1 clinical trial. In the Phase 1 clinical trial, at least one subject in each of the four cohorts receiving OTX-TIC were observed to experience a mean change in IOP from baseline as measured at 8:00 am, 10:00 a.m. and 4:00 p.m. as early as two days following injection. We believe these results were comparable to the decrease in IOP achieved with topical travoprost administered via daily eye drops. IOP lowering effects lasted more than six months in subjects in cohorts 1 and 2 and three to six months in subjects in cohorts 3 and 4.</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OTX- TIC hydrogel was observed to biodegrade over the course of between five and seven months in subjects in cohorts 1 and 2. In subjects in cohorts 3 and 4, the fast-degrading hydrogels were observed to biodegrade over the course of between three and five months. Within all four cohorts, hydrogel implants were not observed to move when viewed with a slit lamp biomicroscope and were visible at all examinations in all subjects using gonioscopy. Corneal health as measured by endothelial cell counts, pachymetry assessments, and slit lamp examinations did not indicate any clinically meaningful changes from baseline in any of the four cohorts. IOP elevation was observed in three subjects in cohort 3 at the approximate time of the hydrogel resorption.</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Foreign Activities</w:t>
      </w:r>
    </w:p>
    <w:p>
      <w:pPr>
        <w:spacing w:after="0" w:line="237" w:lineRule="exact"/>
        <w:rPr>
          <w:sz w:val="20"/>
          <w:szCs w:val="20"/>
          <w:color w:val="auto"/>
        </w:rPr>
      </w:pPr>
    </w:p>
    <w:p>
      <w:pPr>
        <w:ind w:right="540" w:firstLine="490"/>
        <w:spacing w:after="0" w:line="250" w:lineRule="auto"/>
        <w:rPr>
          <w:sz w:val="20"/>
          <w:szCs w:val="20"/>
          <w:color w:val="auto"/>
        </w:rPr>
      </w:pPr>
      <w:r>
        <w:rPr>
          <w:rFonts w:ascii="Times New Roman" w:cs="Times New Roman" w:eastAsia="Times New Roman" w:hAnsi="Times New Roman"/>
          <w:sz w:val="20"/>
          <w:szCs w:val="20"/>
          <w:color w:val="auto"/>
        </w:rPr>
        <w:t>We have entered into a license agreement and collaboration with AffaMed for the development and commercialization of OTX-TIC for the treatment of OAG or OHT, along with DEXTENZA, in mainland China, Taiwan, Hong Kong, Macau, South Korea, and the countries of the Association of Southeast Asian Nations, or the AffaMed License Agreement. AffaMed has informed us that they are currently evaluating their next steps for their clinical development program for OTX-TIC.</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Next Steps</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are currently evaluating next steps for the OTX-TIC program.</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700"/>
          </w:cols>
          <w:pgMar w:left="1080" w:top="1064" w:right="110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i w:val="1"/>
          <w:iCs w:val="1"/>
          <w:color w:val="auto"/>
        </w:rPr>
        <w:t>Dry Eye Programs</w:t>
      </w:r>
    </w:p>
    <w:p>
      <w:pPr>
        <w:spacing w:after="0" w:line="238" w:lineRule="exact"/>
        <w:rPr>
          <w:sz w:val="20"/>
          <w:szCs w:val="20"/>
          <w:color w:val="auto"/>
        </w:rPr>
      </w:pPr>
    </w:p>
    <w:p>
      <w:pPr>
        <w:jc w:val="both"/>
        <w:ind w:right="320" w:firstLine="490"/>
        <w:spacing w:after="0" w:line="260" w:lineRule="auto"/>
        <w:rPr>
          <w:sz w:val="20"/>
          <w:szCs w:val="20"/>
          <w:color w:val="auto"/>
        </w:rPr>
      </w:pPr>
      <w:r>
        <w:rPr>
          <w:rFonts w:ascii="Times New Roman" w:cs="Times New Roman" w:eastAsia="Times New Roman" w:hAnsi="Times New Roman"/>
          <w:sz w:val="20"/>
          <w:szCs w:val="20"/>
          <w:color w:val="auto"/>
        </w:rPr>
        <w:t>We are not currently actively pursuing additional development activities for our product candidates OTX-DED (dexamethasone intracanalicular insert) for the short-term treatment of the signs and symptoms of dry eye disease, or OTX-CSI (cyclosporine intracanalicular insert) for the chronic treatment of dry eye disease.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Ocular Therapeutix Approach</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of Current Back-of-the-Eye Injections</w:t>
      </w:r>
    </w:p>
    <w:p>
      <w:pPr>
        <w:spacing w:after="0" w:line="23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An intravitreal injection is a procedure to place a medication directly into the space in the back of the eye called the vitreous cavity, which is filled with a jelly -like fluid called the vitreous humor gel. The procedure is usually performed by a trained retina specialist in the office setting. Intravitreal injections are used to administer medications to treat a variety of chronic conditions; wet AMD, diabetic retinal disease, and RVO are among the most common conditions treated with intravitreal drugs. The most common intravitreal injections are anti-VEGF drugs. Anti-VEGF drugs and steroids, which also can be injected intravitreally and are used to treat vascular diseases such as DME and RVO, but not non-vascular diseases such as wet AMD, help to reduce fluid leakage associated with these disorders.</w:t>
      </w:r>
    </w:p>
    <w:p>
      <w:pPr>
        <w:spacing w:after="0" w:line="20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While anti-VEGF treatment regimens can be very effective therapies, there are a number of significant drawbacks, driven primarily by the frequency of injections. Patients typically require injections every six to eight weeks, but can require them as frequently as every 4 weeks. We refer to the number of injections a patient has over a given time period as the treatment burden of the particular treatment. The actual injection at the time of administration is often uncomfortable for patients and can be a deterrent in terms of compliance. Then there is the burden to both patients and their caregivers of regular office visits. Most patients require assistance in getting to and from the office visit if they are undergoing injections given the discomfort that can occur post-injection. In addition, these patients may not be mobile enough to travel to the office on their own and therefore require not only the assistance of a caregiver but also transportation to and from the office. Patients with diabetic retinal disease are often younger, part of the active workforce and therefore unwilling or unable to take personal time off to receive frequent injections. Furthermore, frequent injections of medications to the back of the eye can lead to peaks and troughs of medication levels, with fluctuations of intraretinal fluid based on these levels. Such fluid fluctuations have been associated with decreased vision and possibly fibrosis. Finally, while intravitreal injections are typically safe, there is the potential risk of endophthalmitis (infection in the eye), inflammation, bleeding into the vitreous gel and retinal detachment that comes with injections.</w:t>
      </w:r>
    </w:p>
    <w:p>
      <w:pPr>
        <w:spacing w:after="0" w:line="200" w:lineRule="exact"/>
        <w:rPr>
          <w:sz w:val="20"/>
          <w:szCs w:val="20"/>
          <w:color w:val="auto"/>
        </w:rPr>
      </w:pPr>
    </w:p>
    <w:p>
      <w:pPr>
        <w:ind w:right="540" w:firstLine="490"/>
        <w:spacing w:after="0" w:line="280" w:lineRule="auto"/>
        <w:rPr>
          <w:sz w:val="20"/>
          <w:szCs w:val="20"/>
          <w:color w:val="auto"/>
        </w:rPr>
      </w:pPr>
      <w:r>
        <w:rPr>
          <w:rFonts w:ascii="Times New Roman" w:cs="Times New Roman" w:eastAsia="Times New Roman" w:hAnsi="Times New Roman"/>
          <w:sz w:val="20"/>
          <w:szCs w:val="20"/>
          <w:color w:val="auto"/>
        </w:rPr>
        <w:t>As a result of these limitations, there is a significant unmet need for technologies that will allow for a longer duration of effect and an overall reduced treatment burden, measured by the number of injections.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Hydrogel-Based Formulation Technology ELUTYX</w:t>
      </w:r>
    </w:p>
    <w:p>
      <w:pPr>
        <w:spacing w:after="0" w:line="238" w:lineRule="exact"/>
        <w:rPr>
          <w:sz w:val="20"/>
          <w:szCs w:val="20"/>
          <w:color w:val="auto"/>
        </w:rPr>
      </w:pPr>
    </w:p>
    <w:p>
      <w:pPr>
        <w:ind w:right="100" w:firstLine="490"/>
        <w:spacing w:after="0" w:line="280" w:lineRule="auto"/>
        <w:rPr>
          <w:sz w:val="20"/>
          <w:szCs w:val="20"/>
          <w:color w:val="auto"/>
        </w:rPr>
      </w:pPr>
      <w:r>
        <w:rPr>
          <w:rFonts w:ascii="Times New Roman" w:cs="Times New Roman" w:eastAsia="Times New Roman" w:hAnsi="Times New Roman"/>
          <w:sz w:val="20"/>
          <w:szCs w:val="20"/>
          <w:color w:val="auto"/>
        </w:rPr>
        <w:t>We apply our expertise with ELUTYX to the development of products for local programmed-release of known, FDA-approved therapeutic agents for a variety of ophthalmic diseases and conditions and to ophthalmic wound closure.</w:t>
      </w:r>
    </w:p>
    <w:p>
      <w:pPr>
        <w:spacing w:after="0" w:line="163"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ELUTYX is based on the use of a proprietary form of polyethylene glycol, or PEG. Our technical capabilities include a deep understanding of the polymer chemistry of PEG-based hydrogels and the design of the highly specialized manufacturing processes required to achieve a reliable, preservative-free and pure product. We tailor the hydrogel to act as a vehicle for local programmed-release drug delivery to the eye and as an ocular tissue sealant.</w:t>
      </w:r>
    </w:p>
    <w:p>
      <w:pPr>
        <w:spacing w:after="0" w:line="191"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create our hydrogels by cross-linking PEG molecules to form a network that resembles a three-dimensional mesh on a molecular level. Our PEG molecules are branched, with four to eight branches or arms. Each arm bears a reactive site on its end. Our cross-linking chemistry uses a second molecule with multiple arms, bearing complimentary reactive sites on each end, such that when combined with the PEG molecules, a network spontaneously forms. When swollen with water, this molecular network forms a hydrogel. We design these hydrogels to slowly degrade in the presence of water, a process called hydrolysis, by inserting a biodegradable linkage between the PEG molecule and the cross-linked molecule. By appropriately selecting the number of arms of the PEG molecule and the biodegradable linkage, we can design hydrogels with varying mechanical properties and bioresorption rates. Because the body has an abundance of water at a constant temperature and pH level, hydrolysis provides a predictable and reproducible degradation rate. Our technology enables us to make hydrogels that can bioresorb over days, weeks or months.</w:t>
      </w:r>
    </w:p>
    <w:p>
      <w:pPr>
        <w:sectPr>
          <w:pgSz w:w="11880" w:h="15480" w:orient="portrait"/>
          <w:cols w:equalWidth="0" w:num="1">
            <w:col w:w="9700"/>
          </w:cols>
          <w:pgMar w:left="1080" w:top="106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700"/>
          </w:cols>
          <w:pgMar w:left="1080" w:top="1067" w:right="1100" w:bottom="0" w:gutter="0" w:footer="0" w:header="0"/>
          <w:type w:val="continuous"/>
        </w:sectPr>
      </w:pPr>
    </w:p>
    <w:bookmarkStart w:id="20" w:name="page21"/>
    <w:bookmarkEnd w:id="20"/>
    <w:p>
      <w:pPr>
        <w:ind w:right="20" w:firstLine="489"/>
        <w:spacing w:after="0" w:line="260" w:lineRule="auto"/>
        <w:rPr>
          <w:sz w:val="20"/>
          <w:szCs w:val="20"/>
          <w:color w:val="auto"/>
        </w:rPr>
      </w:pPr>
      <w:r>
        <w:rPr>
          <w:rFonts w:ascii="Times New Roman" w:cs="Times New Roman" w:eastAsia="Times New Roman" w:hAnsi="Times New Roman"/>
          <w:sz w:val="20"/>
          <w:szCs w:val="20"/>
          <w:color w:val="auto"/>
        </w:rPr>
        <w:t>We select the active pharmaceutical ingredients for our local programmed-release drug delivery product candidates based on criteria we have developed through our extensive experience with hydrogel-based technologies. We consider the following selection criteria:</w:t>
      </w:r>
    </w:p>
    <w:p>
      <w:pPr>
        <w:spacing w:after="0" w:line="198" w:lineRule="exact"/>
        <w:rPr>
          <w:sz w:val="20"/>
          <w:szCs w:val="20"/>
          <w:color w:val="auto"/>
        </w:rPr>
      </w:pPr>
    </w:p>
    <w:p>
      <w:pPr>
        <w:ind w:left="860" w:hanging="363"/>
        <w:spacing w:after="0"/>
        <w:tabs>
          <w:tab w:leader="none" w:pos="8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prior approval by the FDA for the targeted ophthalmic indication,</w:t>
      </w:r>
    </w:p>
    <w:p>
      <w:pPr>
        <w:spacing w:after="0" w:line="252" w:lineRule="exact"/>
        <w:rPr>
          <w:rFonts w:ascii="Arial" w:cs="Arial" w:eastAsia="Arial" w:hAnsi="Arial"/>
          <w:sz w:val="20"/>
          <w:szCs w:val="20"/>
          <w:color w:val="auto"/>
        </w:rPr>
      </w:pPr>
    </w:p>
    <w:p>
      <w:pPr>
        <w:ind w:left="860" w:hanging="363"/>
        <w:spacing w:after="0" w:line="279" w:lineRule="auto"/>
        <w:tabs>
          <w:tab w:leader="none" w:pos="8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scientific rationale, either clinical or pre-clinical, for active pharmaceutical ingredients such as axitinib, which are not currently approved for an ophthalmic indication;</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expiration of relevant patent protection prior to or within our anticipated development timeline;</w:t>
      </w:r>
    </w:p>
    <w:p>
      <w:pPr>
        <w:spacing w:after="0" w:line="252" w:lineRule="exact"/>
        <w:rPr>
          <w:rFonts w:ascii="Arial" w:cs="Arial" w:eastAsia="Arial" w:hAnsi="Arial"/>
          <w:sz w:val="20"/>
          <w:szCs w:val="20"/>
          <w:color w:val="auto"/>
        </w:rPr>
      </w:pPr>
    </w:p>
    <w:p>
      <w:pPr>
        <w:ind w:left="860" w:right="960" w:hanging="363"/>
        <w:spacing w:after="0" w:line="279" w:lineRule="auto"/>
        <w:tabs>
          <w:tab w:leader="none" w:pos="8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high potency to minimize required drug load in the intravitreal hydrogel, intracameral hydrogel or intracanalicular insert;</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from a qualified supplier; and</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compatibility with our drug delivery system.</w:t>
      </w:r>
    </w:p>
    <w:p>
      <w:pPr>
        <w:spacing w:after="0" w:line="238" w:lineRule="exact"/>
        <w:rPr>
          <w:sz w:val="20"/>
          <w:szCs w:val="20"/>
          <w:color w:val="auto"/>
        </w:rPr>
      </w:pPr>
    </w:p>
    <w:p>
      <w:pPr>
        <w:ind w:right="40" w:firstLine="489"/>
        <w:spacing w:after="0" w:line="260" w:lineRule="auto"/>
        <w:rPr>
          <w:sz w:val="20"/>
          <w:szCs w:val="20"/>
          <w:color w:val="auto"/>
        </w:rPr>
      </w:pPr>
      <w:r>
        <w:rPr>
          <w:rFonts w:ascii="Times New Roman" w:cs="Times New Roman" w:eastAsia="Times New Roman" w:hAnsi="Times New Roman"/>
          <w:sz w:val="20"/>
          <w:szCs w:val="20"/>
          <w:color w:val="auto"/>
        </w:rPr>
        <w:t>We believe our current and future intravitreal hydrogel, intracameral hydrogel and intracanalicular insert products and product candidates may offer a range of favorable attributes as compared to immediate release back-of-the-eye injections and eye drops, including:</w:t>
      </w:r>
    </w:p>
    <w:p>
      <w:pPr>
        <w:spacing w:after="0" w:line="197" w:lineRule="exact"/>
        <w:rPr>
          <w:sz w:val="20"/>
          <w:szCs w:val="20"/>
          <w:color w:val="auto"/>
        </w:rPr>
      </w:pPr>
    </w:p>
    <w:p>
      <w:pPr>
        <w:ind w:left="860" w:right="140" w:hanging="363"/>
        <w:spacing w:after="0" w:line="248" w:lineRule="auto"/>
        <w:tabs>
          <w:tab w:leader="none" w:pos="8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Improved patient compliance</w:t>
      </w:r>
      <w:r>
        <w:rPr>
          <w:rFonts w:ascii="Times New Roman" w:cs="Times New Roman" w:eastAsia="Times New Roman" w:hAnsi="Times New Roman"/>
          <w:sz w:val="20"/>
          <w:szCs w:val="20"/>
          <w:color w:val="auto"/>
        </w:rPr>
        <w:t>. Our hydrogel implants and inserts are placed by a healthcare professional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designed to provide local programmed-release of drug to the ocular surface, intracameral space or intravitreal space. Because patients are not responsible for self-administration of the drug and the hydrogel implants and inserts dissipate over time and do not require removal for acute conditions or frequent removal for chronic conditions, we believe our hydrogel implants and inserts address the problem of patient compliance.</w:t>
      </w:r>
    </w:p>
    <w:p>
      <w:pPr>
        <w:spacing w:after="0" w:line="207" w:lineRule="exact"/>
        <w:rPr>
          <w:rFonts w:ascii="Arial" w:cs="Arial" w:eastAsia="Arial" w:hAnsi="Arial"/>
          <w:sz w:val="20"/>
          <w:szCs w:val="20"/>
          <w:color w:val="auto"/>
        </w:rPr>
      </w:pPr>
    </w:p>
    <w:p>
      <w:pPr>
        <w:ind w:left="860" w:right="240" w:hanging="363"/>
        <w:spacing w:after="0" w:line="253" w:lineRule="auto"/>
        <w:tabs>
          <w:tab w:leader="none" w:pos="8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Ease of administration</w:t>
      </w:r>
      <w:r>
        <w:rPr>
          <w:rFonts w:ascii="Times New Roman" w:cs="Times New Roman" w:eastAsia="Times New Roman" w:hAnsi="Times New Roman"/>
          <w:sz w:val="20"/>
          <w:szCs w:val="20"/>
          <w:color w:val="auto"/>
        </w:rPr>
        <w:t>. We have designed our hydrogel implants and inserts to provide the entire course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medication with a single administration by a healthcare professional for acute conditions or for months for chronic conditions. We believe this avoids the need for frequent administration, reducing the patient’s treatment burden and the likelihood of potential complications that could result if doses are missed.</w:t>
      </w:r>
    </w:p>
    <w:p>
      <w:pPr>
        <w:spacing w:after="0" w:line="204" w:lineRule="exact"/>
        <w:rPr>
          <w:rFonts w:ascii="Arial" w:cs="Arial" w:eastAsia="Arial" w:hAnsi="Arial"/>
          <w:sz w:val="20"/>
          <w:szCs w:val="20"/>
          <w:color w:val="auto"/>
        </w:rPr>
      </w:pPr>
    </w:p>
    <w:p>
      <w:pPr>
        <w:ind w:left="860" w:right="20" w:hanging="363"/>
        <w:spacing w:after="0" w:line="244" w:lineRule="auto"/>
        <w:tabs>
          <w:tab w:leader="none" w:pos="8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Local programmed-release of drug</w:t>
      </w:r>
      <w:r>
        <w:rPr>
          <w:rFonts w:ascii="Times New Roman" w:cs="Times New Roman" w:eastAsia="Times New Roman" w:hAnsi="Times New Roman"/>
          <w:sz w:val="20"/>
          <w:szCs w:val="20"/>
          <w:color w:val="auto"/>
        </w:rPr>
        <w:t>. We have designed our hydrogel implants and inserts to deliver drug in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programmed fashion in order to avoid the peak and valley dosing and related side effects associated with current standard of care injections for the back of the eye, as well as spikes in IOP associated with eye drops. We also believe programmed-release dosing may improve the therapeutic profile of the active pharmaceutical ingredient because it eliminates periods of little or no drug presence between back of the eye injection or eye drop administrations. Further, we are designing our products and product candidates so that their drug release profiles can be tailored or programmed to match the treatment needs of the disease. For example, steroids for ophthalmic purposes generally require administration over four weeks, with tapered dosing over this period. In contrast, PGAs require administration in a steady fashion over the duration of treatment. Our hydrogel implants and inserts are designed to fully dissipate and can be removed if necessary by a healthcare professional.</w:t>
      </w:r>
    </w:p>
    <w:p>
      <w:pPr>
        <w:spacing w:after="0" w:line="211" w:lineRule="exact"/>
        <w:rPr>
          <w:rFonts w:ascii="Arial" w:cs="Arial" w:eastAsia="Arial" w:hAnsi="Arial"/>
          <w:sz w:val="20"/>
          <w:szCs w:val="20"/>
          <w:color w:val="auto"/>
        </w:rPr>
      </w:pPr>
    </w:p>
    <w:p>
      <w:pPr>
        <w:ind w:left="860" w:right="500" w:hanging="363"/>
        <w:spacing w:after="0" w:line="280" w:lineRule="auto"/>
        <w:tabs>
          <w:tab w:leader="none" w:pos="86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Avoidance of preservative side effects</w:t>
      </w:r>
      <w:r>
        <w:rPr>
          <w:rFonts w:ascii="Times New Roman" w:cs="Times New Roman" w:eastAsia="Times New Roman" w:hAnsi="Times New Roman"/>
          <w:sz w:val="19"/>
          <w:szCs w:val="19"/>
          <w:color w:val="auto"/>
        </w:rPr>
        <w:t>. Our hydrogel implants and inserts do not involve the use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preservatives, such as benzalkonium chloride, which have been linked to side effects including burning, stinging, hyperemia, irritation, eye dryness and, less frequently, conjunctivitis or corneal damage.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Intravitreal Hydrogels</w:t>
      </w:r>
    </w:p>
    <w:p>
      <w:pPr>
        <w:spacing w:after="0" w:line="238" w:lineRule="exact"/>
        <w:rPr>
          <w:sz w:val="20"/>
          <w:szCs w:val="20"/>
          <w:color w:val="auto"/>
        </w:rPr>
      </w:pPr>
    </w:p>
    <w:p>
      <w:pPr>
        <w:ind w:right="160" w:firstLine="490"/>
        <w:spacing w:after="0" w:line="260" w:lineRule="auto"/>
        <w:rPr>
          <w:sz w:val="20"/>
          <w:szCs w:val="20"/>
          <w:color w:val="auto"/>
        </w:rPr>
      </w:pPr>
      <w:r>
        <w:rPr>
          <w:rFonts w:ascii="Times New Roman" w:cs="Times New Roman" w:eastAsia="Times New Roman" w:hAnsi="Times New Roman"/>
          <w:sz w:val="20"/>
          <w:szCs w:val="20"/>
          <w:color w:val="auto"/>
        </w:rPr>
        <w:t>We are engaged in the clinical development of our hydrogel administered via intravitreal injection to address the large and growing markets for diseases and conditions of the back of the eye. Our intravitreal hydrogel product candidates, such as AXPAXLI, consist of a PEG-based hydrogel, which contains embedded micronized particles of</w:t>
      </w:r>
    </w:p>
    <w:p>
      <w:pPr>
        <w:sectPr>
          <w:pgSz w:w="11880" w:h="15480" w:orient="portrait"/>
          <w:cols w:equalWidth="0" w:num="1">
            <w:col w:w="9660"/>
          </w:cols>
          <w:pgMar w:left="1080" w:top="1064"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660"/>
          </w:cols>
          <w:pgMar w:left="1080" w:top="1064" w:right="1140" w:bottom="0" w:gutter="0" w:footer="0" w:header="0"/>
          <w:type w:val="continuous"/>
        </w:sectPr>
      </w:pPr>
    </w:p>
    <w:bookmarkStart w:id="21" w:name="page22"/>
    <w:bookmarkEnd w:id="21"/>
    <w:p>
      <w:pPr>
        <w:ind w:right="580"/>
        <w:spacing w:after="0" w:line="280" w:lineRule="auto"/>
        <w:rPr>
          <w:sz w:val="20"/>
          <w:szCs w:val="20"/>
          <w:color w:val="auto"/>
        </w:rPr>
      </w:pPr>
      <w:r>
        <w:rPr>
          <w:rFonts w:ascii="Times New Roman" w:cs="Times New Roman" w:eastAsia="Times New Roman" w:hAnsi="Times New Roman"/>
          <w:sz w:val="20"/>
          <w:szCs w:val="20"/>
          <w:color w:val="auto"/>
        </w:rPr>
        <w:t>active drug. We design the intravitreal hydrogel to be injected and retained in the vitreous humor to provide local programmed-release intravitreal delivery of anti-VEGF compounds.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Intracameral Hydrogels</w:t>
      </w:r>
    </w:p>
    <w:p>
      <w:pPr>
        <w:spacing w:after="0" w:line="23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We are engaged in the clinical development of our hydrogel administered via intracameral injection to address glaucoma. Intracameral hydrogels refer to biodegradable or bioresorbable hydrogels placed into the anterior chamber or front of the eye for the treatment of ocular conditions. The hydrogels are designed to be held in place by currents and gravity present in the anterior chamber of an eye. In the case of OTX-TIC, the hydrogel is designed to infuse with intracameral water, settle into the inferior angle of the eye and demonstrate little to no movement. The hydrogels are soft, biodegradable and provide sustained release of at least one therapeutic agent to both the trabecular meshwork and associated ocular tissue and the fluids within the anterior chamber of an eye.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Intracanalicular Inserts</w:t>
      </w:r>
    </w:p>
    <w:p>
      <w:pPr>
        <w:spacing w:after="0" w:line="239" w:lineRule="exact"/>
        <w:rPr>
          <w:sz w:val="20"/>
          <w:szCs w:val="20"/>
          <w:color w:val="auto"/>
        </w:rPr>
      </w:pPr>
    </w:p>
    <w:p>
      <w:pPr>
        <w:jc w:val="both"/>
        <w:ind w:right="260" w:firstLine="490"/>
        <w:spacing w:after="0" w:line="259" w:lineRule="auto"/>
        <w:rPr>
          <w:sz w:val="20"/>
          <w:szCs w:val="20"/>
          <w:color w:val="auto"/>
        </w:rPr>
      </w:pPr>
      <w:r>
        <w:rPr>
          <w:rFonts w:ascii="Times New Roman" w:cs="Times New Roman" w:eastAsia="Times New Roman" w:hAnsi="Times New Roman"/>
          <w:sz w:val="20"/>
          <w:szCs w:val="20"/>
          <w:color w:val="auto"/>
        </w:rPr>
        <w:t>Our intracanalicular inserts, including DEXTENZA, are designed to be inserted into the patient’s punctum by a healthcare professional and to release drug to the surface of the eye to address diseases including ocular inflammation and pain following ophthalmic surgery and ocular itching associated with allergic conjunctivitis.</w:t>
      </w:r>
    </w:p>
    <w:p>
      <w:pPr>
        <w:spacing w:after="0" w:line="186" w:lineRule="exact"/>
        <w:rPr>
          <w:sz w:val="20"/>
          <w:szCs w:val="20"/>
          <w:color w:val="auto"/>
        </w:rPr>
      </w:pPr>
    </w:p>
    <w:p>
      <w:pPr>
        <w:ind w:right="180" w:firstLine="490"/>
        <w:spacing w:after="0" w:line="250" w:lineRule="auto"/>
        <w:rPr>
          <w:sz w:val="20"/>
          <w:szCs w:val="20"/>
          <w:color w:val="auto"/>
        </w:rPr>
      </w:pPr>
      <w:r>
        <w:rPr>
          <w:rFonts w:ascii="Times New Roman" w:cs="Times New Roman" w:eastAsia="Times New Roman" w:hAnsi="Times New Roman"/>
          <w:sz w:val="20"/>
          <w:szCs w:val="20"/>
          <w:color w:val="auto"/>
        </w:rPr>
        <w:t>Our intracanalicular inserts utilize ELUTYX and are embedded with an active drug. Following insertion through the punctum, our inserts swell in tear fluid to fill the vertical canaliculus, which secures the inserts in place. Over time, the inserts liquefy and are cleared through the nasolacrimal duct. If necessary due to excessive tearing, discomfort or improper placement, a healthcare professional can remove an intracanalicular insert by a process of pushing the soft insert back through the punctum.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Portfolio</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Post-Surgical Ocular Inflammation and Pain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DEXTENZA (dexamethasone intracanalicular insert)</w:t>
      </w:r>
    </w:p>
    <w:p>
      <w:pPr>
        <w:spacing w:after="0" w:line="237" w:lineRule="exact"/>
        <w:rPr>
          <w:sz w:val="20"/>
          <w:szCs w:val="20"/>
          <w:color w:val="auto"/>
        </w:rPr>
      </w:pPr>
    </w:p>
    <w:p>
      <w:pPr>
        <w:ind w:firstLine="489"/>
        <w:spacing w:after="0" w:line="250" w:lineRule="auto"/>
        <w:rPr>
          <w:sz w:val="20"/>
          <w:szCs w:val="20"/>
          <w:color w:val="auto"/>
        </w:rPr>
      </w:pPr>
      <w:r>
        <w:rPr>
          <w:rFonts w:ascii="Times New Roman" w:cs="Times New Roman" w:eastAsia="Times New Roman" w:hAnsi="Times New Roman"/>
          <w:sz w:val="20"/>
          <w:szCs w:val="20"/>
          <w:color w:val="auto"/>
        </w:rPr>
        <w:t>DEXTENZA incorporates the FDA-approved corticosteroid dexamethasone as a preservative-free active pharmaceutical ingredient into a drug-eluting intracanalicular insert that is based on ELUTYX. Following FDA approval, we commercially launched DEXTENZA for the treatment of post-surgical inflammation and pain in July 2019. DEXTENZA is the first and only FDA -approved intracanalicular insert delivering dexamethasone to treat post-surgical ocular inflammation and pain for up to 30 days with a single administration.</w:t>
      </w:r>
    </w:p>
    <w:p>
      <w:pPr>
        <w:spacing w:after="0" w:line="192" w:lineRule="exact"/>
        <w:rPr>
          <w:sz w:val="20"/>
          <w:szCs w:val="20"/>
          <w:color w:val="auto"/>
        </w:rPr>
      </w:pPr>
    </w:p>
    <w:p>
      <w:pPr>
        <w:ind w:firstLine="489"/>
        <w:spacing w:after="0" w:line="253" w:lineRule="auto"/>
        <w:rPr>
          <w:sz w:val="20"/>
          <w:szCs w:val="20"/>
          <w:color w:val="auto"/>
        </w:rPr>
      </w:pPr>
      <w:r>
        <w:rPr>
          <w:rFonts w:ascii="Times New Roman" w:cs="Times New Roman" w:eastAsia="Times New Roman" w:hAnsi="Times New Roman"/>
          <w:sz w:val="20"/>
          <w:szCs w:val="20"/>
          <w:color w:val="auto"/>
        </w:rPr>
        <w:t>We selected dexamethasone as the active pharmaceutical ingredient for DEXTENZA because it is approved by the FDA and has a long history of ophthalmic use; is available on a generic basis from multiple qualified suppliers; is highly potent and is typically prescribed for prevention of ocular inflammation and pain following ocular surgery; and has physical properties that are well suited for incorporation within our hydrogel technology.</w:t>
      </w:r>
    </w:p>
    <w:p>
      <w:pPr>
        <w:spacing w:after="0" w:line="191"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The dexamethasone drug particles embedded within our DEXTENZA intracanalicular insert gradually erode and release the drug in a programmed fashion until the drug is depleted. As the dexamethasone drug particles erode and the ELUTYX degrades by hydrolysis, the intracanalicular insert softens, liquefies and is cleared through the nasolacrimal duct. We provide the DEXTENZA drug product in a preservative-free formulation in a sterile, single use package.</w:t>
      </w:r>
    </w:p>
    <w:p>
      <w:pPr>
        <w:spacing w:after="0" w:line="19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standard regimen for dexamethasone eye drops following cataract surgery is an initial administration of four times daily for one week, with a gradual tapering in the number of eye drops over a four-week period. Such a regimen is often confusing to patients as they must remember to taper the number of times per day they administer the steroid, while also taking multiple eye drops of other drugs following surgery, such as antibiotics and non-steroidal anti-inflammatory drugs, or NSAIDs. We believe that local programmed-release of drug to the eye may result in better control of ocular inflammation and pain as compared to prescription eye drops and that a low dose amount may provide enhanced safety by eliminating spikes in IOP associated with high-dose steroid eye drops.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700"/>
          </w:cols>
          <w:pgMar w:left="1080" w:top="1064" w:right="1100" w:bottom="0" w:gutter="0" w:footer="0" w:header="0"/>
          <w:type w:val="continuous"/>
        </w:sectPr>
      </w:pPr>
    </w:p>
    <w:bookmarkStart w:id="22" w:name="page23"/>
    <w:bookmarkEnd w:id="22"/>
    <w:p>
      <w:pPr>
        <w:ind w:left="260"/>
        <w:spacing w:after="0"/>
        <w:rPr>
          <w:sz w:val="20"/>
          <w:szCs w:val="20"/>
          <w:color w:val="auto"/>
        </w:rPr>
      </w:pPr>
      <w:r>
        <w:rPr>
          <w:rFonts w:ascii="Times New Roman" w:cs="Times New Roman" w:eastAsia="Times New Roman" w:hAnsi="Times New Roman"/>
          <w:sz w:val="20"/>
          <w:szCs w:val="20"/>
          <w:i w:val="1"/>
          <w:iCs w:val="1"/>
          <w:color w:val="auto"/>
        </w:rPr>
        <w:t>Investigator-Initiated Trials</w:t>
      </w:r>
    </w:p>
    <w:p>
      <w:pPr>
        <w:spacing w:after="0" w:line="236"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We have received proposals for, and are supporting, several investigator-initiated trials evaluating DEXTENZA in different clinical situations. To date, third-party clinical investigators have initiated 45 trials to study the use of DEXTENZA in cataract surgery, other ophthalmic surgeries, and other potential indications. Of those, 22 trials have published study reports, and 14 trials have been terminated. The remaining 9 trials are in various stages of enrollment and treatment.</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Post-Approval Studies</w:t>
      </w:r>
    </w:p>
    <w:p>
      <w:pPr>
        <w:spacing w:after="0" w:line="236" w:lineRule="exact"/>
        <w:rPr>
          <w:sz w:val="20"/>
          <w:szCs w:val="20"/>
          <w:color w:val="auto"/>
        </w:rPr>
      </w:pPr>
    </w:p>
    <w:p>
      <w:pPr>
        <w:ind w:right="20" w:firstLine="489"/>
        <w:spacing w:after="0" w:line="244" w:lineRule="auto"/>
        <w:rPr>
          <w:sz w:val="20"/>
          <w:szCs w:val="20"/>
          <w:color w:val="auto"/>
        </w:rPr>
      </w:pPr>
      <w:r>
        <w:rPr>
          <w:rFonts w:ascii="Times New Roman" w:cs="Times New Roman" w:eastAsia="Times New Roman" w:hAnsi="Times New Roman"/>
          <w:sz w:val="20"/>
          <w:szCs w:val="20"/>
          <w:color w:val="auto"/>
        </w:rPr>
        <w:t>In September 2020, we announced that we had dosed the first pediatric subjects in a U.S.-based, randomized, multicenter Phase 3 clinical trial evaluating DEXTENZA for the treatment of post-surgical ocular inflammation and pain in children following cataract surgery. This clinical trial is a post-approval requirement of the FDA in accordance with the Pediatric Research Equity Act of 2003, in connection with the FDA’s prior approval of DEXTENZA for the treatment of inflammation and pain following ophthalmic surgery in adults. We enrolled 65 subjects in this clinical trial. It is designed to evaluate the safety of DEXTENZA compared to an active control, prednisolone acetate suspension eye drops, for the treatment of inflammation and pain following ocular surgery for pediatric cataract in children between zero and five years of age. The FDA has agreed that this Phase 3 clinical trial evaluating DEXTENZA for the treatment of post-surgical ocular inflammation and pain in children following cataract surgery may also satisfy the post-approval requirement for a pediatric trial as it relates to the indication for ocular itching associated with allergic conjunctivitis.</w:t>
      </w:r>
    </w:p>
    <w:p>
      <w:pPr>
        <w:spacing w:after="0" w:line="203" w:lineRule="exact"/>
        <w:rPr>
          <w:sz w:val="20"/>
          <w:szCs w:val="20"/>
          <w:color w:val="auto"/>
        </w:rPr>
      </w:pPr>
    </w:p>
    <w:p>
      <w:pPr>
        <w:ind w:right="80" w:firstLine="489"/>
        <w:spacing w:after="0" w:line="248" w:lineRule="auto"/>
        <w:rPr>
          <w:sz w:val="20"/>
          <w:szCs w:val="20"/>
          <w:color w:val="auto"/>
        </w:rPr>
      </w:pPr>
      <w:r>
        <w:rPr>
          <w:rFonts w:ascii="Times New Roman" w:cs="Times New Roman" w:eastAsia="Times New Roman" w:hAnsi="Times New Roman"/>
          <w:sz w:val="20"/>
          <w:szCs w:val="20"/>
          <w:color w:val="auto"/>
        </w:rPr>
        <w:t>In June 2024, we submitted the data for our clinical trial to evaluate DEXTENZA in pediatric subjects following cataract surgery and the updated package insert to the FDA. We received approval of the supplemental NDA for DEXTENZA in April 2025. Therefore, DEXTENZA is now also approved for use in pediatric patients for the treatment of ocular inflammation and pain following ophthalmic surgery, and in pediatric patients aged 2 years and older for the treatment of ocular itching associated with allergic conjunctivitis. The approval of this supplemental NDA provides for pediatric label expansion.</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Foreign Approvals</w:t>
      </w:r>
    </w:p>
    <w:p>
      <w:pPr>
        <w:spacing w:after="0" w:line="236" w:lineRule="exact"/>
        <w:rPr>
          <w:sz w:val="20"/>
          <w:szCs w:val="20"/>
          <w:color w:val="auto"/>
        </w:rPr>
      </w:pPr>
    </w:p>
    <w:p>
      <w:pPr>
        <w:ind w:right="60" w:firstLine="489"/>
        <w:spacing w:after="0" w:line="248" w:lineRule="auto"/>
        <w:rPr>
          <w:sz w:val="20"/>
          <w:szCs w:val="20"/>
          <w:color w:val="auto"/>
        </w:rPr>
      </w:pPr>
      <w:r>
        <w:rPr>
          <w:rFonts w:ascii="Times New Roman" w:cs="Times New Roman" w:eastAsia="Times New Roman" w:hAnsi="Times New Roman"/>
          <w:sz w:val="20"/>
          <w:szCs w:val="20"/>
          <w:color w:val="auto"/>
        </w:rPr>
        <w:t>Outside the United States, we continue to assess whether to seek regulatory approval for DEXTENZA in markets such as the European Union, Australia and Japan based on the market opportunity, particularly pricing, and the requirements for marketing approval. Given our prioritization of the clinical development of our sustained-release product candidates, in particular for retinal diseases, and our planned commercialization efforts for our initial intracanalicular insert product candidates in the United States, we expect we will need to engage third parties to assist us in the approval process.</w:t>
      </w:r>
    </w:p>
    <w:p>
      <w:pPr>
        <w:spacing w:after="0" w:line="19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have entered into the AffaMed License Agreement with AffaMed for the development and commercialization of DEXTENZA, along with OTX-TIC in mainland China, Taiwan, Hong Kong, Macau, South Korea, and the countries of the Association of Southeast Asian Nations. AffaMed continues to advance its clinical development and regulatory strategy to pursue approval of DEXTENZA for the treatment of ocular inflammation and pain post-ophthalmic surgery by China’s National Medical Products Administration, or NMPA. AffaMed has obtained approval to market DEXTENZA for the treatment of ocular inflammation and pain post-ophthalmic surgery in Macau and Singapore. We do not expect that DEXTENZA sales in Macau and Singapore will result in material revenues to us.</w:t>
      </w:r>
    </w:p>
    <w:p>
      <w:pPr>
        <w:spacing w:after="0" w:line="199" w:lineRule="exact"/>
        <w:rPr>
          <w:sz w:val="20"/>
          <w:szCs w:val="20"/>
          <w:color w:val="auto"/>
        </w:rPr>
      </w:pPr>
    </w:p>
    <w:p>
      <w:pPr>
        <w:ind w:right="1920" w:firstLine="490"/>
        <w:spacing w:after="0" w:line="491" w:lineRule="auto"/>
        <w:rPr>
          <w:sz w:val="20"/>
          <w:szCs w:val="20"/>
          <w:color w:val="auto"/>
        </w:rPr>
      </w:pPr>
      <w:r>
        <w:rPr>
          <w:rFonts w:ascii="Times New Roman" w:cs="Times New Roman" w:eastAsia="Times New Roman" w:hAnsi="Times New Roman"/>
          <w:sz w:val="20"/>
          <w:szCs w:val="20"/>
          <w:color w:val="auto"/>
        </w:rPr>
        <w:t xml:space="preserve">We retain the right to develop and commercialize DEXTENZA in all other global markets. </w:t>
      </w:r>
      <w:r>
        <w:rPr>
          <w:rFonts w:ascii="Times New Roman" w:cs="Times New Roman" w:eastAsia="Times New Roman" w:hAnsi="Times New Roman"/>
          <w:sz w:val="20"/>
          <w:szCs w:val="20"/>
          <w:b w:val="1"/>
          <w:bCs w:val="1"/>
          <w:i w:val="1"/>
          <w:iCs w:val="1"/>
          <w:color w:val="auto"/>
        </w:rPr>
        <w:t>Allergic Conjunctivitis</w:t>
      </w:r>
    </w:p>
    <w:p>
      <w:pPr>
        <w:spacing w:after="0" w:line="2" w:lineRule="exact"/>
        <w:rPr>
          <w:sz w:val="20"/>
          <w:szCs w:val="20"/>
          <w:color w:val="auto"/>
        </w:rPr>
      </w:pPr>
    </w:p>
    <w:p>
      <w:pPr>
        <w:ind w:right="940"/>
        <w:spacing w:after="0" w:line="277" w:lineRule="auto"/>
        <w:rPr>
          <w:sz w:val="20"/>
          <w:szCs w:val="20"/>
          <w:color w:val="auto"/>
        </w:rPr>
      </w:pPr>
      <w:r>
        <w:rPr>
          <w:rFonts w:ascii="Times New Roman" w:cs="Times New Roman" w:eastAsia="Times New Roman" w:hAnsi="Times New Roman"/>
          <w:sz w:val="20"/>
          <w:szCs w:val="20"/>
          <w:i w:val="1"/>
          <w:iCs w:val="1"/>
          <w:color w:val="auto"/>
        </w:rPr>
        <w:t>DEXTENZA (dexamethasone ophthalmic insert) for the Treatment of Ocular Itching Associated with Allergic Conjunctivitis</w:t>
      </w:r>
    </w:p>
    <w:p>
      <w:pPr>
        <w:spacing w:after="0" w:line="165"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auto"/>
        </w:rPr>
        <w:t>In October 2021, the FDA approved our supplemental New Drug Application, or sNDA, for DEXTENZA to include the treatment of ocular itching associated with allergic conjunctivitis as an additional indication. With the approval, DEXTENZA became the first, FDA-approved, physician-administered intracanalicular insert capable of delivering a preservative-free drug for the treatment of ocular itching associated with allergic conjunctivitis with a single administration for up to 30 days. DEXTENZA for the treatment of ocular itching associated with allergic conjunctivitis</w:t>
      </w:r>
    </w:p>
    <w:p>
      <w:pPr>
        <w:sectPr>
          <w:pgSz w:w="11880" w:h="15480" w:orient="portrait"/>
          <w:cols w:equalWidth="0" w:num="1">
            <w:col w:w="9700"/>
          </w:cols>
          <w:pgMar w:left="1080" w:top="1069" w:right="110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700"/>
          </w:cols>
          <w:pgMar w:left="1080" w:top="1069" w:right="1100" w:bottom="0" w:gutter="0" w:footer="0" w:header="0"/>
          <w:type w:val="continuous"/>
        </w:sectPr>
      </w:pPr>
    </w:p>
    <w:bookmarkStart w:id="23" w:name="page24"/>
    <w:bookmarkEnd w:id="23"/>
    <w:p>
      <w:pPr>
        <w:ind w:right="420"/>
        <w:spacing w:after="0" w:line="260" w:lineRule="auto"/>
        <w:rPr>
          <w:sz w:val="20"/>
          <w:szCs w:val="20"/>
          <w:color w:val="auto"/>
        </w:rPr>
      </w:pPr>
      <w:r>
        <w:rPr>
          <w:rFonts w:ascii="Times New Roman" w:cs="Times New Roman" w:eastAsia="Times New Roman" w:hAnsi="Times New Roman"/>
          <w:sz w:val="20"/>
          <w:szCs w:val="20"/>
          <w:color w:val="auto"/>
        </w:rPr>
        <w:t>also represents our first indication approved to be administered in a physician’s office during a routine, non-surgical appointment. We commercially launched DEXTENZA for the treatment of ocular itching associated with allergic conjunctivitis in the first quarter of 2022.</w:t>
      </w:r>
    </w:p>
    <w:p>
      <w:pPr>
        <w:spacing w:after="0" w:line="183" w:lineRule="exact"/>
        <w:rPr>
          <w:sz w:val="20"/>
          <w:szCs w:val="20"/>
          <w:color w:val="auto"/>
        </w:rPr>
      </w:pPr>
    </w:p>
    <w:p>
      <w:pPr>
        <w:ind w:firstLine="489"/>
        <w:spacing w:after="0" w:line="245" w:lineRule="auto"/>
        <w:rPr>
          <w:sz w:val="20"/>
          <w:szCs w:val="20"/>
          <w:color w:val="auto"/>
        </w:rPr>
      </w:pPr>
      <w:r>
        <w:rPr>
          <w:rFonts w:ascii="Times New Roman" w:cs="Times New Roman" w:eastAsia="Times New Roman" w:hAnsi="Times New Roman"/>
          <w:sz w:val="20"/>
          <w:szCs w:val="20"/>
          <w:color w:val="auto"/>
        </w:rPr>
        <w:t>Although dexamethasone is clinically effective in the treatment of late-phase inflammatory allergic reactions, the safety limitations associated with eye drop administration, including the potential to generate spikes in IOP due to the high levels of drug due to potential patient abuse to treat this symptomatic condition, have limited its widespread adoption. These elevations in IOP can lead to drug-induced glaucoma, although the incidence is low. Further, use of oral antihistamine medications as well as anti-histamine eye drops for allergic conjunctivitis may dry out the eye and exacerbate the discomfort to some patients. Based on our clinical trial results to date, we believe that using DEXTENZA for allergic conjunctivitis can create a low, tapered, consistent dose of dexamethasone, potentially minimizing or eliminating side effects associated with the eye drop formulation, while retaining the drug’s anti-inflammatory effects.</w:t>
      </w:r>
    </w:p>
    <w:p>
      <w:pPr>
        <w:spacing w:after="0" w:line="203"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We believe that allergic conjunctivitis represents a discrete potential market opportunity for preservative-free DEXTENZA because it is a physician-administered, hands-free, therapy administered in the office setting. We believe that many of the specialists who treat patients for post-surgical inflammation and pain also treat patients suffering from allergic conjunctivitis.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AffaMed License Agreement</w:t>
      </w:r>
    </w:p>
    <w:p>
      <w:pPr>
        <w:spacing w:after="0" w:line="23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Under the terms of the AffaMed License Agreement, we received an upfront payment of $12.0 million and became eligible to receive development, regulatory and commercial milestone payments and clinical development support payments of up to $91.0 million in the aggregate, as well as royalties from future product sales. In the fourth quarter of 2021, we received a $1.0 million milestone payment upon the approval by the FDA of an sNDA for DEXTENZA to include the treatment of ocular itching associated with allergic conjunctivitis as an additional indication; in the second quarter of 2022, we received a $2.0 million clinical support payment in connection with dosing the first subject in a Phase 2 clinical trial evaluating OTX-TIC for the treatment of OAG or OHT; and in the second quarter of 2023, we received a $1.0 million milestone payment upon the NMPA’s approval of AffaMed’s Phase 3 registrational study in China to investigate the efficacy and safety of DEXTENZA in subjects following ophthalmic surgery. Royalties are tiered and will range from the low teens to low twenty percent range. In return, we agreed to grant AffaMed exclusive rights to develop and commercialize DEXTENZA for the treatment of post-surgical inflammation and pain following ophthalmic surgery and ocular itching in patients with allergic conjunctivitis, and OTX-TIC for the reduction of elevated IOP in patients with primary OAG or OHT in specified Asian markets. We retain the right to develop and commercialize DEXTENZA and OTX-TIC in all other global markets.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Marketing and Distribution</w:t>
      </w:r>
    </w:p>
    <w:p>
      <w:pPr>
        <w:spacing w:after="0" w:line="24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generally expect to retain commercial rights in the United States to any of our product candidates for which we may receive marketing approvals and which we believe we can successfully commercialize. In general, if we receive approval to market any of our product candidates in the United States, we plan to then evaluate the regulatory approval requirements and commercial potential for any such product candidate in Europe, Japan and other selected geographies. If we decide to commercialize our products outside of the United States, we expect to utilize a variety of types of collaboration, distribution and other marketing arrangements with one or more third parties to commercialize any product of ours that receives marketing approval.</w:t>
      </w:r>
    </w:p>
    <w:p>
      <w:pPr>
        <w:spacing w:after="0" w:line="199"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20"/>
          <w:szCs w:val="20"/>
          <w:color w:val="auto"/>
        </w:rPr>
        <w:t>We sell DEXTENZA in the United States to specialty distributors, or SDs, for resale to certain ambulatory surgery centers, or ASCs, certain hospital outpatient departments, or HOPDs, and certain physicians’ offices, and directly to certain ASCs and physicians’ offices.</w:t>
      </w:r>
    </w:p>
    <w:p>
      <w:pPr>
        <w:spacing w:after="0" w:line="183"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In addition to distribution agreements with specialty distributors and a small number of ASCs and physicians’ offices, we enter into arrangements with government payors that provide for government-mandated rebates and chargebacks with respect to the purchase of DEXTENZA. We have built a highly targeted, key account sales force of KAMs, or key account managers, Regional Directors, and FRMs, or field reimbursement managers, that primarily focuses on the ASCs and their affiliates, as well as HOPDs, that were, according to the MarketScope Ophthalmic Market Trends: Quarterly US Cataract Edition (published November 2025) Report, collectively responsible for approximately 86.9% of the approximately 4.8 million cataract procedures that were performed in the United States in 2024.</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720"/>
          </w:cols>
          <w:pgMar w:left="1080" w:top="1064" w:right="1080" w:bottom="0" w:gutter="0" w:footer="0" w:header="0"/>
          <w:type w:val="continuous"/>
        </w:sectPr>
      </w:pPr>
    </w:p>
    <w:bookmarkStart w:id="24" w:name="page25"/>
    <w:bookmarkEnd w:id="24"/>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Since 2022, we have periodically adjusted our discounting and rebate strategy to meet the demands of the market. For example, in the third quarter of 2022, we implemented an off-invoice discount, or OID, program whereby providers receive the discounted price immediately upon purchase, rather than having to wait until the end of the quarter for a rebate payment. We focus our sales efforts on sales to ASCs and strategic accounts that own and control multiple ASCs. In the first quarter of 2023, we launched a Commercial Assurance Program to provide assistance with patients’ out-of-pocket costs, supporting the expansion of DEXTENZA for commercially insured patients not covered by government payors.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4" w:lineRule="exact"/>
        <w:rPr>
          <w:sz w:val="20"/>
          <w:szCs w:val="20"/>
          <w:color w:val="auto"/>
        </w:rPr>
      </w:pPr>
    </w:p>
    <w:p>
      <w:pPr>
        <w:ind w:right="140" w:firstLine="490"/>
        <w:spacing w:after="0" w:line="248" w:lineRule="auto"/>
        <w:rPr>
          <w:sz w:val="20"/>
          <w:szCs w:val="20"/>
          <w:color w:val="auto"/>
        </w:rPr>
      </w:pPr>
      <w:r>
        <w:rPr>
          <w:rFonts w:ascii="Times New Roman" w:cs="Times New Roman" w:eastAsia="Times New Roman" w:hAnsi="Times New Roman"/>
          <w:sz w:val="20"/>
          <w:szCs w:val="20"/>
          <w:color w:val="auto"/>
        </w:rPr>
        <w:t>We fabricate devices and drug products for use in our clinical trials, research and development and commercial efforts for DEXTENZA according to current good manufacturing practices, or cGMP, at our approximately 20,000 square foot facility located in Bedford, Massachusetts. We fabricate drug products and assemble the final products for use in our clinical trials and other research and development activities for our product candidates, including AXPAXLI, at our 71,000 square foot cGMP facility that is also located in Bedford, Massachusetts. We are completing additional construction at this facility to support initial expected commercial demand for AXPAXLI.</w:t>
      </w:r>
    </w:p>
    <w:p>
      <w:pPr>
        <w:spacing w:after="0" w:line="19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We purchase active pharmaceutical ingredient drug substance from independent suppliers on a purchase order basis for incorporation into our drug product candidates. We purchase our PEG and other raw materials from different vendors on a purchase order basis according to our specifications. We purchase components for our injectors and for the manufacture of our hydrogel platform from several different vendors. While we believe that multiple vendors are available for each component we purchase, we have historically sole-sourced each component. We qualify vendors according to our quality system requirements. We do not have any long-term supply agreements in place for any raw materials or drug substances. We do not license any technology or pay any royalties to any of our drug or raw material vendors for the current or potential front and back-of-the-eye products.</w:t>
      </w:r>
    </w:p>
    <w:p>
      <w:pPr>
        <w:spacing w:after="0" w:line="202"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20"/>
          <w:szCs w:val="20"/>
          <w:color w:val="auto"/>
        </w:rPr>
        <w:t>We believe that our strategic investment in manufacturing capabilities allows us to advance product candidates at a more rapid pace, with more flexibility and greater level of quality, than if we were to work with a contract manufacturer. We will continue to evaluate outsourcing unit operations for cost advantages or eventually as a second source. Our manufacturing capability also enables us to produce products in a cost-effective manner while retaining control over the manufacturing process and prioritizing the timing of internal programs.</w:t>
      </w:r>
    </w:p>
    <w:p>
      <w:pPr>
        <w:spacing w:after="0" w:line="192" w:lineRule="exact"/>
        <w:rPr>
          <w:sz w:val="20"/>
          <w:szCs w:val="20"/>
          <w:color w:val="auto"/>
        </w:rPr>
      </w:pPr>
    </w:p>
    <w:p>
      <w:pPr>
        <w:ind w:right="200" w:firstLine="489"/>
        <w:spacing w:after="0" w:line="250" w:lineRule="auto"/>
        <w:rPr>
          <w:sz w:val="20"/>
          <w:szCs w:val="20"/>
          <w:color w:val="auto"/>
        </w:rPr>
      </w:pPr>
      <w:r>
        <w:rPr>
          <w:rFonts w:ascii="Times New Roman" w:cs="Times New Roman" w:eastAsia="Times New Roman" w:hAnsi="Times New Roman"/>
          <w:sz w:val="20"/>
          <w:szCs w:val="20"/>
          <w:color w:val="auto"/>
        </w:rPr>
        <w:t>Our manufacturing capabilities encompass the full manufacturing process through quality control and quality assurance and are integrated with our project teams from discovery through development and commercial release. This structure enables us to efficiently transfer research stage product concepts into manufacturing. We have designed our manufacturing facility and processes to provide flexibility for the manufacture of different product candidates. We outsource sterilization and packaging services for our products.</w:t>
      </w:r>
    </w:p>
    <w:p>
      <w:pPr>
        <w:spacing w:after="0" w:line="192" w:lineRule="exact"/>
        <w:rPr>
          <w:sz w:val="20"/>
          <w:szCs w:val="20"/>
          <w:color w:val="auto"/>
        </w:rPr>
      </w:pPr>
    </w:p>
    <w:p>
      <w:pPr>
        <w:ind w:right="180" w:firstLine="490"/>
        <w:spacing w:after="0" w:line="260" w:lineRule="auto"/>
        <w:rPr>
          <w:sz w:val="20"/>
          <w:szCs w:val="20"/>
          <w:color w:val="auto"/>
        </w:rPr>
      </w:pPr>
      <w:r>
        <w:rPr>
          <w:rFonts w:ascii="Times New Roman" w:cs="Times New Roman" w:eastAsia="Times New Roman" w:hAnsi="Times New Roman"/>
          <w:sz w:val="20"/>
          <w:szCs w:val="20"/>
          <w:color w:val="auto"/>
        </w:rPr>
        <w:t>We believe that we can continue to execute our commercial manufacturing to support DEXTENZA sales, to supply clinical materials for our current and future development programs for AXPAXLI and other product candidates, and to scale up our manufacturing processes for the potential commercialization of AXPAXLI.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2" w:lineRule="exact"/>
        <w:rPr>
          <w:sz w:val="20"/>
          <w:szCs w:val="20"/>
          <w:color w:val="auto"/>
        </w:rPr>
      </w:pPr>
    </w:p>
    <w:p>
      <w:pPr>
        <w:ind w:right="160" w:firstLine="489"/>
        <w:spacing w:after="0" w:line="253"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proprietary protection for our products, product candidates, technology and know-how, to operate without infringing the proprietary rights of others and to prevent others from infringing our proprietary rights. We rely on patent protection, trade secrets, know-how, continuing technological innovation and in-licensing opportunities to develop and maintain our proprietary position.</w:t>
      </w:r>
    </w:p>
    <w:p>
      <w:pPr>
        <w:spacing w:after="0" w:line="191"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We have issued patents and/or patent applications pending for all of our commercial products and product candidates, as well as trade secrets to protect proprietary manufacturing processes. As of December 31, 2025, we owned or exclusively licensed in certain fields of use over 300 issued U.S. patents, pending U.S. patent applications, issued foreign patents and pending foreign patent applications.</w:t>
      </w:r>
    </w:p>
    <w:p>
      <w:pPr>
        <w:spacing w:after="0" w:line="190" w:lineRule="exact"/>
        <w:rPr>
          <w:sz w:val="20"/>
          <w:szCs w:val="20"/>
          <w:color w:val="auto"/>
        </w:rPr>
      </w:pPr>
    </w:p>
    <w:p>
      <w:pPr>
        <w:ind w:right="20" w:firstLine="490"/>
        <w:spacing w:after="0" w:line="280" w:lineRule="auto"/>
        <w:rPr>
          <w:sz w:val="20"/>
          <w:szCs w:val="20"/>
          <w:color w:val="auto"/>
        </w:rPr>
      </w:pPr>
      <w:r>
        <w:rPr>
          <w:rFonts w:ascii="Times New Roman" w:cs="Times New Roman" w:eastAsia="Times New Roman" w:hAnsi="Times New Roman"/>
          <w:sz w:val="20"/>
          <w:szCs w:val="20"/>
          <w:color w:val="auto"/>
        </w:rPr>
        <w:t>Certain of our U.S. patents and applications, and their foreign counterparts, are owned by us and other U.S. patents and applications, and their foreign counterparts have been in-licensed from Incept.</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720"/>
          </w:cols>
          <w:pgMar w:left="1080" w:top="1064" w:right="1080" w:bottom="0" w:gutter="0" w:footer="0" w:header="0"/>
          <w:type w:val="continuous"/>
        </w:sectPr>
      </w:pPr>
    </w:p>
    <w:bookmarkStart w:id="25" w:name="page26"/>
    <w:bookmarkEnd w:id="25"/>
    <w:p>
      <w:pPr>
        <w:ind w:right="200" w:firstLine="490"/>
        <w:spacing w:after="0" w:line="260" w:lineRule="auto"/>
        <w:rPr>
          <w:sz w:val="20"/>
          <w:szCs w:val="20"/>
          <w:color w:val="auto"/>
        </w:rPr>
      </w:pPr>
      <w:r>
        <w:rPr>
          <w:rFonts w:ascii="Times New Roman" w:cs="Times New Roman" w:eastAsia="Times New Roman" w:hAnsi="Times New Roman"/>
          <w:sz w:val="20"/>
          <w:szCs w:val="20"/>
          <w:color w:val="auto"/>
        </w:rPr>
        <w:t>The existence of patent applications does not guarantee that a patent will issue, or that any patent that does issue will cover the product or product candidate. Issued patents are subject to validity, enforceability and infringement challenges by third parties with uncertain chances of success.</w:t>
      </w:r>
    </w:p>
    <w:p>
      <w:pPr>
        <w:spacing w:after="0" w:line="18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for patents in the countries in which they are granted. In most countries, including the United States, the patent term is generally 20 years from the earliest claimed filing date of a patent application in the applicable country (not including provisional filings in the United States).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for certain patents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Patent term extension is only available for the first commercial marketing or use of the product under the provision of law under which the regulatory review period occurred.</w:t>
      </w:r>
    </w:p>
    <w:p>
      <w:pPr>
        <w:spacing w:after="0" w:line="202"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where applicable, we expect to apply for patent term extensions on certain issued patents covering those products, depending upon the length of the clinical trials for each drug and other factors. The expiration dates referred to above are without regard to potential patent term extension or other market exclusivity that may be available to us.</w:t>
      </w:r>
    </w:p>
    <w:p>
      <w:pPr>
        <w:spacing w:after="0" w:line="193" w:lineRule="exact"/>
        <w:rPr>
          <w:sz w:val="20"/>
          <w:szCs w:val="20"/>
          <w:color w:val="auto"/>
        </w:rPr>
      </w:pPr>
    </w:p>
    <w:p>
      <w:pPr>
        <w:ind w:right="180" w:firstLine="489"/>
        <w:spacing w:after="0" w:line="253" w:lineRule="auto"/>
        <w:rPr>
          <w:sz w:val="20"/>
          <w:szCs w:val="20"/>
          <w:color w:val="auto"/>
        </w:rPr>
      </w:pPr>
      <w:r>
        <w:rPr>
          <w:rFonts w:ascii="Times New Roman" w:cs="Times New Roman" w:eastAsia="Times New Roman" w:hAnsi="Times New Roman"/>
          <w:sz w:val="20"/>
          <w:szCs w:val="20"/>
          <w:color w:val="auto"/>
        </w:rPr>
        <w:t>We may rely, in some circumstances, on trade secrets to protect our technology. However, trade secrets can be difficult to protect. We seek to protect our proprietary technology and processes, in part, by confidentiality agreements with our employees, and certain consultants, scientific advisors and contractors. We also seek to preserve the integrity and confidentiality of our data.</w:t>
      </w:r>
    </w:p>
    <w:p>
      <w:pPr>
        <w:spacing w:after="0" w:line="191" w:lineRule="exact"/>
        <w:rPr>
          <w:sz w:val="20"/>
          <w:szCs w:val="20"/>
          <w:color w:val="auto"/>
        </w:rPr>
      </w:pPr>
    </w:p>
    <w:p>
      <w:pPr>
        <w:ind w:right="60" w:firstLine="490"/>
        <w:spacing w:after="0" w:line="280" w:lineRule="auto"/>
        <w:rPr>
          <w:sz w:val="20"/>
          <w:szCs w:val="20"/>
          <w:color w:val="auto"/>
        </w:rPr>
      </w:pPr>
      <w:r>
        <w:rPr>
          <w:rFonts w:ascii="Times New Roman" w:cs="Times New Roman" w:eastAsia="Times New Roman" w:hAnsi="Times New Roman"/>
          <w:sz w:val="20"/>
          <w:szCs w:val="20"/>
          <w:color w:val="auto"/>
        </w:rPr>
        <w:t>The following is a summary of patents and patent applications that cover our commercial products and potentially cover our product candidates:</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AXPAXLI (axitinib intravitreal hydrogel)</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own an issued patent in the United States that covers this product candidate, with a current expiration date in</w:t>
      </w:r>
    </w:p>
    <w:p>
      <w:pPr>
        <w:jc w:val="both"/>
        <w:ind w:right="220"/>
        <w:spacing w:after="0" w:line="259" w:lineRule="auto"/>
        <w:rPr>
          <w:sz w:val="20"/>
          <w:szCs w:val="20"/>
          <w:color w:val="auto"/>
        </w:rPr>
      </w:pPr>
      <w:r>
        <w:rPr>
          <w:rFonts w:ascii="Times New Roman" w:cs="Times New Roman" w:eastAsia="Times New Roman" w:hAnsi="Times New Roman"/>
          <w:sz w:val="20"/>
          <w:szCs w:val="20"/>
          <w:color w:val="auto"/>
        </w:rPr>
        <w:t>2044 as well as corresponding pending U.S. and foreign counterpart applications, together with other issued patents in the United States and patents in certain foreign jurisdictions that cover this product candidate, with current expiration dates in 2041, as well as corresponding pending U.S. and foreign counterpart applications.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OTX-TIC (travoprost intracameral hydrogel) for the treatment of OAG or OHT</w:t>
      </w:r>
    </w:p>
    <w:p>
      <w:pPr>
        <w:spacing w:after="0" w:line="238" w:lineRule="exact"/>
        <w:rPr>
          <w:sz w:val="20"/>
          <w:szCs w:val="20"/>
          <w:color w:val="auto"/>
        </w:rPr>
      </w:pPr>
    </w:p>
    <w:p>
      <w:pPr>
        <w:ind w:right="400" w:firstLine="490"/>
        <w:spacing w:after="0" w:line="253" w:lineRule="auto"/>
        <w:rPr>
          <w:sz w:val="20"/>
          <w:szCs w:val="20"/>
          <w:color w:val="auto"/>
        </w:rPr>
      </w:pPr>
      <w:r>
        <w:rPr>
          <w:rFonts w:ascii="Times New Roman" w:cs="Times New Roman" w:eastAsia="Times New Roman" w:hAnsi="Times New Roman"/>
          <w:sz w:val="20"/>
          <w:szCs w:val="20"/>
          <w:color w:val="auto"/>
        </w:rPr>
        <w:t>We have licenses to a U.S. patent, and certain foreign counterparts, with current expiration dates in 2037 with corresponding pending U.S. and foreign counterparts. We own an issued patent in the United States and patents in certain foreign jurisdictions that cover this product candidate, with current expiration dates in 2041 as well as corresponding pending U.S. and foreign counterpart applications.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DEXTENZA (dexamethasone ophthalmic insert) 0.4 mg</w:t>
      </w:r>
    </w:p>
    <w:p>
      <w:pPr>
        <w:spacing w:after="0" w:line="239" w:lineRule="exact"/>
        <w:rPr>
          <w:sz w:val="20"/>
          <w:szCs w:val="20"/>
          <w:color w:val="auto"/>
        </w:rPr>
      </w:pPr>
    </w:p>
    <w:p>
      <w:pPr>
        <w:jc w:val="both"/>
        <w:ind w:right="20" w:firstLine="489"/>
        <w:spacing w:after="0" w:line="259" w:lineRule="auto"/>
        <w:rPr>
          <w:sz w:val="20"/>
          <w:szCs w:val="20"/>
          <w:color w:val="auto"/>
        </w:rPr>
      </w:pPr>
      <w:r>
        <w:rPr>
          <w:rFonts w:ascii="Times New Roman" w:cs="Times New Roman" w:eastAsia="Times New Roman" w:hAnsi="Times New Roman"/>
          <w:sz w:val="20"/>
          <w:szCs w:val="20"/>
          <w:color w:val="auto"/>
        </w:rPr>
        <w:t>We have licenses to U.S. patents, and certain foreign counterparts, with current expiration dates in 2030 that cover this product. We also own two U.S. patents that cover this product with current expiration dates in 2036 and 2037, and a pending U.S. patent application.</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680"/>
          </w:cols>
          <w:pgMar w:left="1080" w:top="1064" w:right="1120" w:bottom="0" w:gutter="0" w:footer="0" w:header="0"/>
          <w:type w:val="continuous"/>
        </w:sectPr>
      </w:pPr>
    </w:p>
    <w:bookmarkStart w:id="26" w:name="page27"/>
    <w:bookmarkEnd w:id="26"/>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DEXTENZA (dexamethasone ophthalmic insert) 0.4 mg for the treatment of allergic conjunctivitis</w:t>
      </w:r>
    </w:p>
    <w:p>
      <w:pPr>
        <w:spacing w:after="0" w:line="238" w:lineRule="exact"/>
        <w:rPr>
          <w:sz w:val="20"/>
          <w:szCs w:val="20"/>
          <w:color w:val="auto"/>
        </w:rPr>
      </w:pPr>
    </w:p>
    <w:p>
      <w:pPr>
        <w:ind w:right="40" w:firstLine="489"/>
        <w:spacing w:after="0" w:line="253" w:lineRule="auto"/>
        <w:rPr>
          <w:sz w:val="20"/>
          <w:szCs w:val="20"/>
          <w:color w:val="auto"/>
        </w:rPr>
      </w:pPr>
      <w:r>
        <w:rPr>
          <w:rFonts w:ascii="Times New Roman" w:cs="Times New Roman" w:eastAsia="Times New Roman" w:hAnsi="Times New Roman"/>
          <w:sz w:val="20"/>
          <w:szCs w:val="20"/>
          <w:color w:val="auto"/>
        </w:rPr>
        <w:t>We have licenses to U.S. patents, and certain foreign counterparts, with current expiration dates in 2030 that cover this product. We also own two U.S. patents that cover this product with current expiration dates in 2036 and 2037. We also own an issued U.S. patent expiring in 2041, as well as corresponding pending U.S. and foreign counterpart applications.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Licenses</w:t>
      </w: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Incept, LLC</w:t>
      </w:r>
    </w:p>
    <w:p>
      <w:pPr>
        <w:spacing w:after="0" w:line="23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January 2012, we entered into an amended and restated license agreement, which we refer to as either the Prior Agreement or Original License, with Incept under which we hold an exclusive, worldwide, perpetual, irrevocable license under specified patents and technology owned or controlled by Incept to make, have made, use, offer for sale, sell, sublicense, have sublicensed, offer for sublicense and import, products delivered to or around the human eye for diagnostic, therapeutic or prophylactic purposes relating to all human ophthalmic diseases or conditions. This license covers a significant portion of the patent rights and the technology for DEXTENZA, and may cover certain aspects of other hydrogel platform technology product candidates, such as OTX-TIC, to the extent they were invented prior to the Effective Date (referred to below). The agreement supersedes an April 2007 license agreement between us and Incept. Amar Sawhney, our former President and Chief Executive Officer and former Executive Chairman of the Board of Directors, is a general partner of Incept.</w:t>
      </w:r>
    </w:p>
    <w:p>
      <w:pPr>
        <w:spacing w:after="0" w:line="203" w:lineRule="exact"/>
        <w:rPr>
          <w:sz w:val="20"/>
          <w:szCs w:val="20"/>
          <w:color w:val="auto"/>
        </w:rPr>
      </w:pPr>
    </w:p>
    <w:p>
      <w:pPr>
        <w:ind w:right="20" w:firstLine="489"/>
        <w:spacing w:after="0" w:line="253" w:lineRule="auto"/>
        <w:rPr>
          <w:sz w:val="20"/>
          <w:szCs w:val="20"/>
          <w:color w:val="auto"/>
        </w:rPr>
      </w:pPr>
      <w:r>
        <w:rPr>
          <w:rFonts w:ascii="Times New Roman" w:cs="Times New Roman" w:eastAsia="Times New Roman" w:hAnsi="Times New Roman"/>
          <w:sz w:val="20"/>
          <w:szCs w:val="20"/>
          <w:color w:val="auto"/>
        </w:rPr>
        <w:t>On September 13, 2018, or the Effective Date, we entered into a second amended and restated license agreement, or the Second Amended Agreement, with Incept. The Second Amended Agreement amends and restates in full the Prior Agreement, to expand the scope of our intellectual property license and modify future intellectual property ownership and other rights thereunder.</w:t>
      </w:r>
    </w:p>
    <w:p>
      <w:pPr>
        <w:spacing w:after="0" w:line="19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License Rights; Ownership of Intellectual Property. </w:t>
      </w:r>
      <w:r>
        <w:rPr>
          <w:rFonts w:ascii="Times New Roman" w:cs="Times New Roman" w:eastAsia="Times New Roman" w:hAnsi="Times New Roman"/>
          <w:sz w:val="20"/>
          <w:szCs w:val="20"/>
          <w:color w:val="auto"/>
        </w:rPr>
        <w:t>We and Incept have agreed to expand the field of use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exclusive, worldwide, perpetual, irrevocable license held by us under the Prior Agreement to include specified intellectual property rights and technology owned or controlled by Incept to make, have made, use, offer for sale, sell, sublicense, have sublicensed, offer for sublicense and import, (i) consistent with the Prior Agreement, products delivered to or around the human eye for diagnostic, therapeutic or prophylactic purposes relating to all human ophthalmic diseases or conditions, or the Ophthalmic Field of Use, and (ii) as a result of the expansion of the scope of the Original License, products delivered for the treatment of acute post-surgical pain or for the treatment of ear, nose and/or throat diseases or conditions, subject to specified exceptions, or the Additional Field of Use. We and Incept have further agreed to expand the field of use of the Original License for certain patents, patent applications and other rights pertaining to shape-changing hydrogel formulations thereunder, or the Shape-Changing IP, to include all fields except those involving the nerves and associated tissues specified in the Second Amended Agreement.</w:t>
      </w:r>
    </w:p>
    <w:p>
      <w:pPr>
        <w:spacing w:after="0" w:line="19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will solely own, without a license to Incept, all intellectual property rights conceived solely by one or more individuals from our company, or the Company Individuals, after the Effective Date, subject to exceptions specified therein. Subject to certain exceptions specified in the Second Amended Agreement, Incept will own and license to the us (i) all intellectual property rights included in the Original License, or the Original IP, in the Ophthalmic Field of Use and the Additional Field of Use, (ii) intellectual property rights in the field of drug delivery conceived solely by the Company Individuals on or before the Effective Date, or Incept IP, and (iii) intellectual property rights in the field of drug delivery conceived by one or more Company Individuals jointly with one or more individuals from Incept, including Dr. Sawhney, or the Incept Individuals, after the Effective Date. These intellectual property rights are referred to as Joint IP, and, collectively with the Original IP and the Incept IP, as the Licensed IP.</w:t>
      </w:r>
    </w:p>
    <w:p>
      <w:pPr>
        <w:spacing w:after="0" w:line="19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Financial Terms. </w:t>
      </w:r>
      <w:r>
        <w:rPr>
          <w:rFonts w:ascii="Times New Roman" w:cs="Times New Roman" w:eastAsia="Times New Roman" w:hAnsi="Times New Roman"/>
          <w:sz w:val="20"/>
          <w:szCs w:val="20"/>
          <w:color w:val="auto"/>
        </w:rPr>
        <w:t>We and any of our sublicensees are obligated to pay Incept royalties as follows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Second Amended Agreement: (i) consistent with the Prior Agreement, a royalty equal to a low single-digit percentage of net sales by us or our affiliates of products, devices, materials, or components thereof, or Licensed Products, including or covered by Original IP, excluding the Shape-Changing IP, in the Ophthalmic Field of Use; (ii) a royalty equal to a mid-single-digit percentage of net sales by us or our affiliates of Licensed Products including or covered by Original IP, excluding the Shape-Changing IP, in the Additional Field of Use; and (iii) a royalty equal to a low single-digit percentage of net sales by us or our affiliates of Licensed Products including or covered by Incept IP or Joint IP in the field of drug delivery. Royalty obligations under the Second Amended Agreement commence with the first commercial</w:t>
      </w:r>
    </w:p>
    <w:p>
      <w:pPr>
        <w:sectPr>
          <w:pgSz w:w="11880" w:h="15480" w:orient="portrait"/>
          <w:cols w:equalWidth="0" w:num="1">
            <w:col w:w="9700"/>
          </w:cols>
          <w:pgMar w:left="1080" w:top="1067" w:right="110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700"/>
          </w:cols>
          <w:pgMar w:left="1080" w:top="1067" w:right="1100" w:bottom="0" w:gutter="0" w:footer="0" w:header="0"/>
          <w:type w:val="continuous"/>
        </w:sectPr>
      </w:pPr>
    </w:p>
    <w:bookmarkStart w:id="27" w:name="page28"/>
    <w:bookmarkEnd w:id="27"/>
    <w:p>
      <w:pPr>
        <w:spacing w:after="0" w:line="246" w:lineRule="auto"/>
        <w:rPr>
          <w:sz w:val="20"/>
          <w:szCs w:val="20"/>
          <w:color w:val="auto"/>
        </w:rPr>
      </w:pPr>
      <w:r>
        <w:rPr>
          <w:rFonts w:ascii="Times New Roman" w:cs="Times New Roman" w:eastAsia="Times New Roman" w:hAnsi="Times New Roman"/>
          <w:sz w:val="20"/>
          <w:szCs w:val="20"/>
          <w:color w:val="auto"/>
        </w:rPr>
        <w:t>sale of a Licensed Product described above and terminate upon the expiration of the last-to-expire patents included in the Licensed IP, as applicable. Any sublicensee of us also will be obligated to pay Incept royalties on net sales of Licensed Products made by it and will be bound by the terms of the Second Amended Agreement to the same extent as us. Additionally, at its sole discretion, Incept may require, as a condition of any sublicense by us in the Additional Field of Use and in exchange for a reduction in the royalties owed on net sales of Licensed Products described above, payments equal to a mid-teen percentage of any upfront payment and, subject to certain conditions, other payments received by us from the sublicensee.</w:t>
      </w:r>
    </w:p>
    <w:p>
      <w:pPr>
        <w:spacing w:after="0" w:line="201" w:lineRule="exact"/>
        <w:rPr>
          <w:sz w:val="20"/>
          <w:szCs w:val="20"/>
          <w:color w:val="auto"/>
        </w:rPr>
      </w:pPr>
    </w:p>
    <w:p>
      <w:pPr>
        <w:ind w:right="20" w:firstLine="489"/>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Patent Prosecution and Litigation. </w:t>
      </w:r>
      <w:r>
        <w:rPr>
          <w:rFonts w:ascii="Times New Roman" w:cs="Times New Roman" w:eastAsia="Times New Roman" w:hAnsi="Times New Roman"/>
          <w:sz w:val="20"/>
          <w:szCs w:val="20"/>
          <w:color w:val="auto"/>
        </w:rPr>
        <w:t>Incept will continue to have sole control and responsibility for ongoing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prosecution of patents included in the Original IP, and we will have sole control and responsibility for ongoing prosecution of patents and patent applications included in or arising under the Incept IP or Joint IP. The parties have agreed to work together in good faith to enter into a separate agreement under which, subject to certain limitations, we would assume control of the prosecution of patents and patent applications included in or arising under the Shape-Changing IP. We have the right, subject to certain conditions, to bring suit against third parties who infringe the patents included in the Original IP in the Ophthalmic Field of Use or the Additional Field of Use, patents included in the Incept IP in the drug delivery filed, patents included in the Joint IP in the drug delivery field, and patents included in the Shape-Changing IP in all fields except as described above. We have also agreed, if requested by Incept, to enter into a joint defense and prosecution agreement for the purpose of allowing the parties to share confidential and attorney-client privileged information regarding the possible infringement of one or more patents covered by the Second Amended Agreement. We are responsible for all costs incurred in prosecuting any infringement action it brings.</w:t>
      </w:r>
    </w:p>
    <w:p>
      <w:pPr>
        <w:spacing w:after="0" w:line="206"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Term and Termination. </w:t>
      </w:r>
      <w:r>
        <w:rPr>
          <w:rFonts w:ascii="Times New Roman" w:cs="Times New Roman" w:eastAsia="Times New Roman" w:hAnsi="Times New Roman"/>
          <w:sz w:val="20"/>
          <w:szCs w:val="20"/>
          <w:color w:val="auto"/>
        </w:rPr>
        <w:t>The Second Amended Agreement will expire on the later of (i) the expiration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disclaimer by us of the last valid claim of an issued and unexpired patent included in the Licensed IP or (ii) the final unappealable rejection or abandonment of the last pending patent application arising under the Licensed IP. Either party may terminate the Second Amended Agreement in the event of the other party’s insolvency, bankruptcy, or comparable proceedings, or if the other party materially breaches the agreement and does not cure such breach during a specified cure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AffaMed License Agreement</w:t>
      </w:r>
    </w:p>
    <w:p>
      <w:pPr>
        <w:spacing w:after="0" w:line="23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On October 29, 2020, we entered into the AffaMed License Agreement with AffaMed for the development and commercialization of DEXTENZA regarding ocular inflammation and pain following cataract surgery and allergic conjunctivitis, or collectively, the DEXTENZA Field, and for OTX-TIC, or collectively with DEXTENZA, the AffaMed Licensed Products, regarding OAG and OHT, or collectively, the TIC Field and, with the DEXTENZA Field, each a Field, in each case in mainland China, Taiwan, Hong Kong, Macau, South Korea, and the countries of the Association of Southeast Asian Nations, or collectively, the Territories. We retain development and commercialization rights for the AffaMed Licensed Products in the rest of the world.</w:t>
      </w:r>
    </w:p>
    <w:p>
      <w:pPr>
        <w:spacing w:after="0" w:line="201"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Under the AffaMed License Agreement, we granted AffaMed (i) a non -exclusive, royalty-free, non-sublicensable license under certain of our intellectual property rights and know-how to use the AffaMed Licensed Products in connection with specified activities in accordance with a development plan agreed between the parties and (ii) an exclusive, royalty-bearing, sublicensable, non-transferable (subject to specified exceptions), license under certain of our intellectual property rights and know-how to commercialize the AffaMed Licensed Products in the applicable Field in the Territories. We have further agreed not to, and to cause its affiliates or agents not to, develop or commercialize in the Territories (i) the AffaMed Licensed Products outside of the applicable Fields and (ii) any other product containing the same active pharmaceutical ingredients as the AffaMed Licensed Products and administered into the anterior chamber of the eye, in each case without AffaMed’s prior written consent. AffaMed has agreed not to, and to cause its affiliates or agents not to, engage in the development, manufacture, or commercialization of any competing product in the Territories.</w:t>
      </w:r>
    </w:p>
    <w:p>
      <w:pPr>
        <w:spacing w:after="0" w:line="19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Under the terms of the AffaMed License Agreement, we received upfront payments and we also became eligible to receive additional payments upon the achievement of certain development and commercial milestones. There can be no guarantee, however, that any of the remaining milestones will be achieved. We are also entitled to receive tiered, escalating royalties on the net sales of the AffaMed Licensed Products ranging from a low-teen to low-twenties percentage. Royalties under the AffaMed License Agreement are payable on an AffaMed Licensed Product-by-AffaMed Licensed Product and jurisdiction-by-jurisdiction basis and are subject to potential reductions in specified circumstances, subject to a specified floor.</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700"/>
          </w:cols>
          <w:pgMar w:left="1080" w:top="1064" w:right="1100" w:bottom="0" w:gutter="0" w:footer="0" w:header="0"/>
          <w:type w:val="continuous"/>
        </w:sectPr>
      </w:pPr>
    </w:p>
    <w:bookmarkStart w:id="28" w:name="page29"/>
    <w:bookmarkEnd w:id="28"/>
    <w:p>
      <w:pPr>
        <w:ind w:right="80" w:firstLine="489"/>
        <w:spacing w:after="0"/>
        <w:rPr>
          <w:sz w:val="20"/>
          <w:szCs w:val="20"/>
          <w:color w:val="auto"/>
        </w:rPr>
      </w:pPr>
      <w:r>
        <w:rPr>
          <w:rFonts w:ascii="Times New Roman" w:cs="Times New Roman" w:eastAsia="Times New Roman" w:hAnsi="Times New Roman"/>
          <w:sz w:val="20"/>
          <w:szCs w:val="20"/>
          <w:color w:val="auto"/>
        </w:rPr>
        <w:t>Pursuant to the terms of the AffaMed License Agreement, we are generally responsible for expenses related to the development of the AffaMed Licensed Products in the applicable Fields in the Territories, provided that AffaMed</w:t>
      </w:r>
    </w:p>
    <w:p>
      <w:pPr>
        <w:spacing w:after="0" w:line="1" w:lineRule="exact"/>
        <w:rPr>
          <w:sz w:val="20"/>
          <w:szCs w:val="20"/>
          <w:color w:val="auto"/>
        </w:rPr>
      </w:pPr>
    </w:p>
    <w:p>
      <w:pPr>
        <w:ind w:firstLine="7"/>
        <w:spacing w:after="0" w:line="244" w:lineRule="auto"/>
        <w:tabs>
          <w:tab w:leader="none" w:pos="23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 us a low-teen percentage of expenses incurred in connection with certain clinical trials conducted by us and designed to support marketing approval of the AffaMed Licensed Product by FDA or the European Medicines Agency, or the Global Studies; (ii) is solely responsible for expenses incurred in connection with territory-specific clinical trials that it conducts in furtherance of the development plan agreed between the parties in the applicable Fields in the Territories, or the Local Studies; and (iii) reimburse us in full for expenses incurred in connection with obtaining and maintaining regulatory approvals of the AffaMed Licensed Products in the applicable Fields in the Territories. In the event AffaMed declines to participate in a Global Study or to conduct a Local Study in any jurisdiction in which we determine to conduct such a study, we are relieved of our obligation to provide AffaMed clinical data from such study, other than safety data, unless AffaMed subsequently reimburses us in the amounts described above plus a prespecified premium.</w:t>
      </w:r>
    </w:p>
    <w:p>
      <w:pPr>
        <w:spacing w:after="0" w:line="202"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20"/>
          <w:szCs w:val="20"/>
          <w:color w:val="auto"/>
        </w:rPr>
        <w:t>AffaMed is further obligated, at its sole cost and expense, to use commercially reasonable efforts to commercialize the AffaMed Licensed Products in the applicable Fields in the Territories. The AffaMed License Agreement contemplates that the parties negotiate and enter into a future agreement requiring us to use commercially reasonable efforts to manufacture and supply finished drug products in sufficient quantity for clinical development and commercialization of the AffaMed Licensed Products in the applicable Fields in the Territories.</w:t>
      </w:r>
    </w:p>
    <w:p>
      <w:pPr>
        <w:spacing w:after="0" w:line="193"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In accordance with its terms, the AffaMed License Agreement expires upon the expiration of the last royalty term for the last AffaMed Licensed Product in any applicable Field in the Territories. Either party may, subject to specified cure periods, terminate the AffaMed License Agreement in the event of the other party’s uncured breach. Either party may also terminate the AffaMed License Agreement under specified circumstances relating to the other party’s insolvency. During an established period following a change of control of us or our entry into a global licensing agreement that includes the Territories with a third party, we have the option to terminate the AffaMed License Agreement, subject to a specified notice period and the repayment of any costs and expenses incurred by AffaMed in connection with the AffaMed License Agreement, including upfront and milestone payments AffaMed has previously paid to us, at a prespecified premium. AffaMed has the right to terminate the AffaMed License Agreement at any time following the completion of a Phase 3 clinical trial to evaluate OTX-TIC.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potential competitors include large pharmaceutical and biotechnology companies, specialty pharmaceutical and generic drug companies, and compounding pharmacies.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our potential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203"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20"/>
          <w:szCs w:val="20"/>
          <w:color w:val="auto"/>
        </w:rPr>
        <w:t>The key competitive factors affecting the success of each of our product candidates, if approved for marketing, are likely to be efficacy, safety, method and frequency of administration, convenience, price, the level of generic competition and the availability of coverage and adequate reimbursement from government and other third-party payors.</w:t>
      </w:r>
    </w:p>
    <w:p>
      <w:pPr>
        <w:spacing w:after="0" w:line="183" w:lineRule="exact"/>
        <w:rPr>
          <w:sz w:val="20"/>
          <w:szCs w:val="20"/>
          <w:color w:val="auto"/>
        </w:rPr>
      </w:pPr>
    </w:p>
    <w:p>
      <w:pPr>
        <w:ind w:right="80" w:firstLine="490"/>
        <w:spacing w:after="0" w:line="261" w:lineRule="auto"/>
        <w:rPr>
          <w:sz w:val="20"/>
          <w:szCs w:val="20"/>
          <w:color w:val="auto"/>
        </w:rPr>
      </w:pPr>
      <w:r>
        <w:rPr>
          <w:rFonts w:ascii="Times New Roman" w:cs="Times New Roman" w:eastAsia="Times New Roman" w:hAnsi="Times New Roman"/>
          <w:sz w:val="19"/>
          <w:szCs w:val="19"/>
          <w:color w:val="auto"/>
        </w:rPr>
        <w:t>Because the active pharmaceutical ingredients in our products and product candidates are available off-patent, or are soon to be available off-patent, competitors will be able to offer and sell products with the same active pharmaceutical ingredient as our products so long as these competitors do not infringe the patents that we own or license. For example, certain of our owned and licensed patents cover the composition of our products and product candidates and associated methods that relate to the hydrogel composition and drug-release features of the products and product candidates. As such, if a third party were able to design around the formulation and method patents that we own or license and create a different formulation using a different production process not covered by our owned or licensed</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700"/>
          </w:cols>
          <w:pgMar w:left="1080" w:top="1064" w:right="1100" w:bottom="0" w:gutter="0" w:footer="0" w:header="0"/>
          <w:type w:val="continuous"/>
        </w:sectPr>
      </w:pPr>
    </w:p>
    <w:bookmarkStart w:id="29" w:name="page30"/>
    <w:bookmarkEnd w:id="29"/>
    <w:p>
      <w:pPr>
        <w:ind w:right="200"/>
        <w:spacing w:after="0" w:line="280" w:lineRule="auto"/>
        <w:rPr>
          <w:sz w:val="20"/>
          <w:szCs w:val="20"/>
          <w:color w:val="auto"/>
        </w:rPr>
      </w:pPr>
      <w:r>
        <w:rPr>
          <w:rFonts w:ascii="Times New Roman" w:cs="Times New Roman" w:eastAsia="Times New Roman" w:hAnsi="Times New Roman"/>
          <w:sz w:val="20"/>
          <w:szCs w:val="20"/>
          <w:color w:val="auto"/>
        </w:rPr>
        <w:t>patents or patent applications, we would likely be unable to prevent that third party from manufacturing and marketing its product.</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Competitors to AXPAXLI</w:t>
      </w:r>
    </w:p>
    <w:p>
      <w:pPr>
        <w:spacing w:after="0" w:line="238" w:lineRule="exact"/>
        <w:rPr>
          <w:sz w:val="20"/>
          <w:szCs w:val="20"/>
          <w:color w:val="auto"/>
        </w:rPr>
      </w:pPr>
    </w:p>
    <w:p>
      <w:pPr>
        <w:ind w:right="300" w:firstLine="490"/>
        <w:spacing w:after="0" w:line="253" w:lineRule="auto"/>
        <w:rPr>
          <w:sz w:val="20"/>
          <w:szCs w:val="20"/>
          <w:color w:val="auto"/>
        </w:rPr>
      </w:pPr>
      <w:r>
        <w:rPr>
          <w:rFonts w:ascii="Times New Roman" w:cs="Times New Roman" w:eastAsia="Times New Roman" w:hAnsi="Times New Roman"/>
          <w:sz w:val="20"/>
          <w:szCs w:val="20"/>
          <w:color w:val="auto"/>
        </w:rPr>
        <w:t>In wet AMD and diabetic retinal disease, AXPAXLI will compete with anti-VEGF compounds administered in their current formulation and prescribed for the treatment of wet AMD as these agents can in some instances deliver more than one or two months of therapeutic effect, as well as products based on gene therapy, if such products are approved.</w:t>
      </w:r>
    </w:p>
    <w:p>
      <w:pPr>
        <w:spacing w:after="0" w:line="191"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Anti-VEGF products that are currently approved by the FDA for the treatment of wet AMD include Vabysmo (faricimab), Eylea HD (aflibercept 8 mg), Lucentis (ranibizumab), Eylea (aflibercept 2 mg), Beovu (brolicizumab), and Susvimo (ranibizumab Port Delivery System). Biosimilars to ranibizumab and aflibercept 2 mg are commercially available as well. Products that are currently approved by the FDA for the treatment of various diabetic retinal disease indications include Vabysmo, Eylea HD, Lucentis, Eylea, Beovu and Susvimo. The FDA-approved labels for Vabysmo and Eylea HD contemplate dosing as infrequently as once every 16 weeks for a proportion of patients for wet AMD and diabetic retinal disease. The cancer therapy Avastin (bevacizumab) is used off-label for the treatment of wet AMD and diabetic retinal disease as well. These treatments are only sparingly used for the treatment of non-proliferative diabetic retinopathy, though, largely due to the treatment burden.</w:t>
      </w:r>
    </w:p>
    <w:p>
      <w:pPr>
        <w:spacing w:after="0" w:line="197" w:lineRule="exact"/>
        <w:rPr>
          <w:sz w:val="20"/>
          <w:szCs w:val="20"/>
          <w:color w:val="auto"/>
        </w:rPr>
      </w:pPr>
    </w:p>
    <w:p>
      <w:pPr>
        <w:ind w:right="20" w:firstLine="489"/>
        <w:spacing w:after="0" w:line="244" w:lineRule="auto"/>
        <w:rPr>
          <w:sz w:val="20"/>
          <w:szCs w:val="20"/>
          <w:color w:val="auto"/>
        </w:rPr>
      </w:pPr>
      <w:r>
        <w:rPr>
          <w:rFonts w:ascii="Times New Roman" w:cs="Times New Roman" w:eastAsia="Times New Roman" w:hAnsi="Times New Roman"/>
          <w:sz w:val="20"/>
          <w:szCs w:val="20"/>
          <w:color w:val="auto"/>
        </w:rPr>
        <w:t>Multiple companies, in various stages of development, are pursuing products for wet AMD that would be competitive with AXPAXLI. Programs in later-stage development include: Eyepoint Pharmaceuticals, which is pursuing a sustained-release bioerodible implant containing a TKI (vorolanib) using its Durasert-E technology and Kodiak Sciences, which is pursuing products based on its antibody biopolymer conjugate technology. In addition, there are several companies pursuing gene therapies to treat wet AMD including, 4D Molecular Therapeutics, Adverum Biotechnologies, which was acquired by Eli Lilly and Company in 2025, and RegenxBio. Programs in early phases of development include but are not limited to: Alcon, which is pursuing development of a TKI implant containing axitinib using its Print manufacturing technology; Glaukos, which is pursuing a sustained-release bioerodible implant containing a TKI (axitinib) through its Retina-XR delivery platform; and Roche, which is pursuing intravitreal products along with those delivered with its Port Delivery System technology.</w:t>
      </w:r>
    </w:p>
    <w:p>
      <w:pPr>
        <w:spacing w:after="0" w:line="202" w:lineRule="exact"/>
        <w:rPr>
          <w:sz w:val="20"/>
          <w:szCs w:val="20"/>
          <w:color w:val="auto"/>
        </w:rPr>
      </w:pPr>
    </w:p>
    <w:p>
      <w:pPr>
        <w:ind w:right="120" w:firstLine="489"/>
        <w:spacing w:after="0" w:line="246" w:lineRule="auto"/>
        <w:rPr>
          <w:sz w:val="20"/>
          <w:szCs w:val="20"/>
          <w:color w:val="auto"/>
        </w:rPr>
      </w:pPr>
      <w:r>
        <w:rPr>
          <w:rFonts w:ascii="Times New Roman" w:cs="Times New Roman" w:eastAsia="Times New Roman" w:hAnsi="Times New Roman"/>
          <w:sz w:val="20"/>
          <w:szCs w:val="20"/>
          <w:color w:val="auto"/>
        </w:rPr>
        <w:t>Multiple companies, in various stages of development, are pursuing products for the treatment of diabetic retinal disease that would be competitive with AXPAXLI. Programs in later-stage development include: Kodiak Sciences, which is pursuing an anti-VEGF molecule built on its antibody polymer conjugate technology; RegenxBio, which is pursuing a suprachoroidal formulation of its gene therapy for the treatment of DR; Merck, which is pursuing a wingless-related integration site (Wnt) agonist for the treatment of DME; Opus Genetics; which is pursuing an oral treatment; and Eyepoint, which is pursuing a sustained-release bioerodible implant containing a TKI (vorolanib) using its Durasert-E technology for the treatment of DME.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Competitors to OTX-TIC</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number of therapies are currently available for the treatment of glaucoma in the United States. The most</w:t>
      </w:r>
    </w:p>
    <w:p>
      <w:pPr>
        <w:ind w:firstLine="1"/>
        <w:spacing w:after="0" w:line="244" w:lineRule="auto"/>
        <w:rPr>
          <w:sz w:val="20"/>
          <w:szCs w:val="20"/>
          <w:color w:val="auto"/>
        </w:rPr>
      </w:pPr>
      <w:r>
        <w:rPr>
          <w:rFonts w:ascii="Times New Roman" w:cs="Times New Roman" w:eastAsia="Times New Roman" w:hAnsi="Times New Roman"/>
          <w:sz w:val="20"/>
          <w:szCs w:val="20"/>
          <w:color w:val="auto"/>
        </w:rPr>
        <w:t>commonly used treatments for glaucoma in the United States are topical eye drops, including both branded and generic PGAs, along with combination therapies. Allergan, now owned by AbbVie, received approval in March 2020 of DURYSTA, a biodegradable bimatoprost intracameral implant consisting of a PGA and a biodegradable polymer matrix for the reduction of IOP in patients with OAG or OHT. In December 2023, Glaukos received marketing approval from the FDA for iDose, a PGA indicated for the reduction of IOP in patients with OHT or OAG. In addition, several other companies, in varying stages of development, have announced their intention to develop products for treatment of glaucoma using sustained-release therapy. These programs include but are not limited to: Glaukos, which is developing a second- generation formulation of the iDose, referred to as iDose TREX; AbbVie, which is pursuing an intracameral implant comprised of a PGA; PolyActiva, which is pursuing an ocular implant with latanoprost based on its Prezia technology; and Spyglass Pharma, which is pursuing an intraocular lens which elutes bimatoprost.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Competitors to DEXTENZA</w:t>
      </w:r>
    </w:p>
    <w:p>
      <w:pPr>
        <w:spacing w:after="0" w:line="238" w:lineRule="exact"/>
        <w:rPr>
          <w:sz w:val="20"/>
          <w:szCs w:val="20"/>
          <w:color w:val="auto"/>
        </w:rPr>
      </w:pPr>
    </w:p>
    <w:p>
      <w:pPr>
        <w:ind w:right="600" w:firstLine="490"/>
        <w:spacing w:after="0" w:line="280" w:lineRule="auto"/>
        <w:rPr>
          <w:sz w:val="20"/>
          <w:szCs w:val="20"/>
          <w:color w:val="auto"/>
        </w:rPr>
      </w:pPr>
      <w:r>
        <w:rPr>
          <w:rFonts w:ascii="Times New Roman" w:cs="Times New Roman" w:eastAsia="Times New Roman" w:hAnsi="Times New Roman"/>
          <w:sz w:val="20"/>
          <w:szCs w:val="20"/>
          <w:color w:val="auto"/>
        </w:rPr>
        <w:t>Icon Biosciences, Inc. received FDA approval of DEXYCU in February 2018. DEXYCU is an injection of dexamethasone at the time of surgery into the posterior chamber of the eye (behind the iris) to treat inflammation</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700"/>
          </w:cols>
          <w:pgMar w:left="1080" w:top="1064" w:right="1100" w:bottom="0" w:gutter="0" w:footer="0" w:header="0"/>
          <w:type w:val="continuous"/>
        </w:sectPr>
      </w:pPr>
    </w:p>
    <w:bookmarkStart w:id="30" w:name="page31"/>
    <w:bookmarkEnd w:id="30"/>
    <w:p>
      <w:pPr>
        <w:ind w:right="60"/>
        <w:spacing w:after="0" w:line="248" w:lineRule="auto"/>
        <w:rPr>
          <w:sz w:val="20"/>
          <w:szCs w:val="20"/>
          <w:color w:val="auto"/>
        </w:rPr>
      </w:pPr>
      <w:r>
        <w:rPr>
          <w:rFonts w:ascii="Times New Roman" w:cs="Times New Roman" w:eastAsia="Times New Roman" w:hAnsi="Times New Roman"/>
          <w:sz w:val="20"/>
          <w:szCs w:val="20"/>
          <w:color w:val="auto"/>
        </w:rPr>
        <w:t>associated with cataract surgery. Icon Biosciences Inc. was subsequently bought by pSvidia Corporation in March 2018 and, at the same time, the new entity was renamed Eyepoint. Eyepoint launched DEXYCU commercially in the first quarter of 2019. DEXYCU lost separate government reimbursement as of January 1, 2023 and is no longer actively marketed. OMIDRIA, purchased by Rayner Surgical Group Limited, is a prescription medication used during cataract surgery. According to the OMIDRIA website, this product helps the black part in the center of the eye (pupil) stay open (dilated) during cataract surgery and decreases eye pain after surgery.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2" w:lineRule="exact"/>
        <w:rPr>
          <w:sz w:val="20"/>
          <w:szCs w:val="20"/>
          <w:color w:val="auto"/>
        </w:rPr>
      </w:pPr>
    </w:p>
    <w:p>
      <w:pPr>
        <w:ind w:firstLine="489"/>
        <w:spacing w:after="0" w:line="244"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including the European Union, extensively regulate, among other things, the research, development, testing, manufacture, quality control, clearance, approval, pricing, sales, reimbursement, packaging, storage, recordkeeping, labeling, advertising, promotion, distribution, marketing, post-approval monitoring and reporting, and import and export of pharmaceutical products and medical devices.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regulatory requirements applicable to product development, approval and marketing are subject to change, and regulations and administrative guidance often are revised or reinterpreted by government agencies in ways that may have a significant impact on our business.</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Drugs and Biologics in the United States</w:t>
      </w:r>
    </w:p>
    <w:p>
      <w:pPr>
        <w:spacing w:after="0" w:line="238" w:lineRule="exact"/>
        <w:rPr>
          <w:sz w:val="20"/>
          <w:szCs w:val="20"/>
          <w:color w:val="auto"/>
        </w:rPr>
      </w:pPr>
    </w:p>
    <w:p>
      <w:pPr>
        <w:ind w:right="280" w:firstLine="490"/>
        <w:spacing w:after="0" w:line="246" w:lineRule="auto"/>
        <w:rPr>
          <w:sz w:val="20"/>
          <w:szCs w:val="20"/>
          <w:color w:val="auto"/>
        </w:rPr>
      </w:pPr>
      <w:r>
        <w:rPr>
          <w:rFonts w:ascii="Times New Roman" w:cs="Times New Roman" w:eastAsia="Times New Roman" w:hAnsi="Times New Roman"/>
          <w:sz w:val="20"/>
          <w:szCs w:val="20"/>
          <w:color w:val="auto"/>
        </w:rPr>
        <w:t>In the United States, the FDA approves and regulates drug products under the FDCA and related regulations. Drugs are also subject to other federal, state and local statutes and regulations. Biological products, or biologics, are licensed for marketing under the Public Health Service Act, or PHSA, and subject to regulation under the FDCA and related regulations, and other federal, state and local statutes and regulations. A company, institution, or organization which takes responsibility for the initiation and management of a clinical development program for such products is referred to as a sponsor. A sponsor seeking approval to market and distribute a new drug or biological product in the United States must typically undertake the following:</w:t>
      </w:r>
    </w:p>
    <w:p>
      <w:pPr>
        <w:spacing w:after="0" w:line="215" w:lineRule="exact"/>
        <w:rPr>
          <w:sz w:val="20"/>
          <w:szCs w:val="20"/>
          <w:color w:val="auto"/>
        </w:rPr>
      </w:pPr>
    </w:p>
    <w:p>
      <w:pPr>
        <w:ind w:left="860" w:right="480" w:hanging="363"/>
        <w:spacing w:after="0" w:line="279" w:lineRule="auto"/>
        <w:tabs>
          <w:tab w:leader="none" w:pos="8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compliance with the FDA’s good laboratory practice, or GLP, regulations;</w:t>
      </w:r>
    </w:p>
    <w:p>
      <w:pPr>
        <w:spacing w:after="0" w:line="178" w:lineRule="exact"/>
        <w:rPr>
          <w:rFonts w:ascii="Arial" w:cs="Arial" w:eastAsia="Arial" w:hAnsi="Arial"/>
          <w:sz w:val="20"/>
          <w:szCs w:val="20"/>
          <w:color w:val="auto"/>
        </w:rPr>
      </w:pPr>
    </w:p>
    <w:p>
      <w:pPr>
        <w:ind w:left="860" w:right="440" w:hanging="363"/>
        <w:spacing w:after="0" w:line="279" w:lineRule="auto"/>
        <w:tabs>
          <w:tab w:leader="none" w:pos="8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design of a clinical protocol and submission to the FDA of an IND, which must take effect before human clinical trials may begin;</w:t>
      </w:r>
    </w:p>
    <w:p>
      <w:pPr>
        <w:spacing w:after="0" w:line="178" w:lineRule="exact"/>
        <w:rPr>
          <w:rFonts w:ascii="Arial" w:cs="Arial" w:eastAsia="Arial" w:hAnsi="Arial"/>
          <w:sz w:val="20"/>
          <w:szCs w:val="20"/>
          <w:color w:val="auto"/>
        </w:rPr>
      </w:pPr>
    </w:p>
    <w:p>
      <w:pPr>
        <w:ind w:left="860" w:right="420" w:hanging="363"/>
        <w:spacing w:after="0" w:line="279" w:lineRule="auto"/>
        <w:tabs>
          <w:tab w:leader="none" w:pos="8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or IRB, representing each clinical site before each clinical trial may be initiated;</w:t>
      </w:r>
    </w:p>
    <w:p>
      <w:pPr>
        <w:spacing w:after="0" w:line="178" w:lineRule="exact"/>
        <w:rPr>
          <w:rFonts w:ascii="Arial" w:cs="Arial" w:eastAsia="Arial" w:hAnsi="Arial"/>
          <w:sz w:val="20"/>
          <w:szCs w:val="20"/>
          <w:color w:val="auto"/>
        </w:rPr>
      </w:pPr>
    </w:p>
    <w:p>
      <w:pPr>
        <w:ind w:left="860" w:right="120" w:hanging="363"/>
        <w:spacing w:after="0" w:line="260" w:lineRule="auto"/>
        <w:tabs>
          <w:tab w:leader="none" w:pos="8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GCPs, to establish the safety and efficacy of the proposed drug product or the safety, potency and purity for the proposed biological product for each indication;</w:t>
      </w:r>
    </w:p>
    <w:p>
      <w:pPr>
        <w:spacing w:after="0" w:line="196" w:lineRule="exact"/>
        <w:rPr>
          <w:rFonts w:ascii="Arial" w:cs="Arial" w:eastAsia="Arial" w:hAnsi="Arial"/>
          <w:sz w:val="20"/>
          <w:szCs w:val="20"/>
          <w:color w:val="auto"/>
        </w:rPr>
      </w:pPr>
    </w:p>
    <w:p>
      <w:pPr>
        <w:ind w:left="860" w:right="440" w:hanging="363"/>
        <w:spacing w:after="0" w:line="253" w:lineRule="auto"/>
        <w:tabs>
          <w:tab w:leader="none" w:pos="8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preparation and submission to the FDA of a new drug application, or NDA, demonstrating the safety and efficacy for the drug candidate product or, with respect to biologics, a biological licensing application, or BLA, demonstrating the safety, purity and potency of the proposed biological product for one or more proposed indications;</w:t>
      </w:r>
    </w:p>
    <w:p>
      <w:pPr>
        <w:spacing w:after="0" w:line="204" w:lineRule="exact"/>
        <w:rPr>
          <w:rFonts w:ascii="Arial" w:cs="Arial" w:eastAsia="Arial" w:hAnsi="Arial"/>
          <w:sz w:val="20"/>
          <w:szCs w:val="20"/>
          <w:color w:val="auto"/>
        </w:rPr>
      </w:pPr>
    </w:p>
    <w:p>
      <w:pPr>
        <w:ind w:left="860" w:hanging="363"/>
        <w:spacing w:after="0"/>
        <w:tabs>
          <w:tab w:leader="none" w:pos="8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review by an FDA advisory committee, where appropriate or if applicable;</w:t>
      </w:r>
    </w:p>
    <w:p>
      <w:pPr>
        <w:spacing w:after="0" w:line="253" w:lineRule="exact"/>
        <w:rPr>
          <w:rFonts w:ascii="Arial" w:cs="Arial" w:eastAsia="Arial" w:hAnsi="Arial"/>
          <w:sz w:val="20"/>
          <w:szCs w:val="20"/>
          <w:color w:val="auto"/>
        </w:rPr>
      </w:pPr>
    </w:p>
    <w:p>
      <w:pPr>
        <w:ind w:left="860" w:right="20" w:hanging="363"/>
        <w:spacing w:after="0" w:line="253" w:lineRule="auto"/>
        <w:tabs>
          <w:tab w:leader="none" w:pos="86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700"/>
          </w:cols>
          <w:pgMar w:left="1080" w:top="1064" w:right="1100" w:bottom="0" w:gutter="0" w:footer="0" w:header="0"/>
          <w:type w:val="continuous"/>
        </w:sectPr>
      </w:pPr>
    </w:p>
    <w:bookmarkStart w:id="31" w:name="page32"/>
    <w:bookmarkEnd w:id="31"/>
    <w:p>
      <w:pPr>
        <w:ind w:left="860" w:right="160" w:hanging="363"/>
        <w:spacing w:after="0" w:line="279" w:lineRule="auto"/>
        <w:tabs>
          <w:tab w:leader="none" w:pos="8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FDA audits of clinical trial sites to assure compliance with GCPs and the integrity of clinical data;</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payment of user fees pursuant to the Prescription Drug User Fee Act;</w:t>
      </w:r>
    </w:p>
    <w:p>
      <w:pPr>
        <w:spacing w:after="0" w:line="252" w:lineRule="exact"/>
        <w:rPr>
          <w:rFonts w:ascii="Arial" w:cs="Arial" w:eastAsia="Arial" w:hAnsi="Arial"/>
          <w:sz w:val="20"/>
          <w:szCs w:val="20"/>
          <w:color w:val="auto"/>
        </w:rPr>
      </w:pPr>
    </w:p>
    <w:p>
      <w:pPr>
        <w:ind w:left="860" w:right="460" w:hanging="363"/>
        <w:spacing w:after="0" w:line="279" w:lineRule="auto"/>
        <w:tabs>
          <w:tab w:leader="none" w:pos="8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securing FDA approval of the NDA or BLA authorizing marketing of the new drug product or biological product in the United States; and</w:t>
      </w:r>
    </w:p>
    <w:p>
      <w:pPr>
        <w:spacing w:after="0" w:line="179" w:lineRule="exact"/>
        <w:rPr>
          <w:rFonts w:ascii="Arial" w:cs="Arial" w:eastAsia="Arial" w:hAnsi="Arial"/>
          <w:sz w:val="20"/>
          <w:szCs w:val="20"/>
          <w:color w:val="auto"/>
        </w:rPr>
      </w:pPr>
    </w:p>
    <w:p>
      <w:pPr>
        <w:ind w:left="860" w:right="40" w:hanging="363"/>
        <w:spacing w:after="0" w:line="307" w:lineRule="auto"/>
        <w:tabs>
          <w:tab w:leader="none" w:pos="86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color w:val="auto"/>
        </w:rPr>
        <w:t>compliance with any post-approval requirements, including the potential requirement to implement a Risk Evaluation and Mitigation Strategy, or REMS, and the potential requirement to conduct post-approval studies.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Preclinical Studies</w:t>
      </w:r>
    </w:p>
    <w:p>
      <w:pPr>
        <w:spacing w:after="0" w:line="237" w:lineRule="exact"/>
        <w:rPr>
          <w:sz w:val="20"/>
          <w:szCs w:val="20"/>
          <w:color w:val="auto"/>
        </w:rPr>
      </w:pPr>
    </w:p>
    <w:p>
      <w:pPr>
        <w:jc w:val="both"/>
        <w:ind w:right="180" w:firstLine="489"/>
        <w:spacing w:after="0" w:line="239" w:lineRule="auto"/>
        <w:rPr>
          <w:sz w:val="20"/>
          <w:szCs w:val="20"/>
          <w:color w:val="auto"/>
        </w:rPr>
      </w:pPr>
      <w:r>
        <w:rPr>
          <w:rFonts w:ascii="Times New Roman" w:cs="Times New Roman" w:eastAsia="Times New Roman" w:hAnsi="Times New Roman"/>
          <w:sz w:val="20"/>
          <w:szCs w:val="20"/>
          <w:color w:val="auto"/>
        </w:rPr>
        <w:t xml:space="preserve">Preclinical studies include laboratory evaluation of the purity and stability of the manufactured drug substance or active pharmaceutical ingredient and the formulated product, as well as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animal studies to assess the safety and activity of the investigational product for initial testing in humans and to establish a rationale for therapeutic use.</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These studies are generally referred to as IND-enabling studies. The conduct of preclinical studies is subject to federal regulations and requirements, including GLP regulations and standards and the United States Department of Agriculture’s Animal Welfare Act. The results of the preclinical tests, together with manufacturing information, analytical data, any available clinical data or literature and plans for clinical studies, among other things, are submitted to the FDA as part of an IND.</w:t>
      </w:r>
    </w:p>
    <w:p>
      <w:pPr>
        <w:spacing w:after="0" w:line="19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candidate product and, among other things, the manufacturer must develop methods for testing the identity, strength, quality and purity of the final product. Additionally, appropriate packaging must be selected and tested and stability studies must be conducted to demonstrate that the candidate product does not undergo unacceptable deterioration over its shelf life.</w:t>
      </w:r>
    </w:p>
    <w:p>
      <w:pPr>
        <w:spacing w:after="0" w:line="202" w:lineRule="exact"/>
        <w:rPr>
          <w:sz w:val="20"/>
          <w:szCs w:val="20"/>
          <w:color w:val="auto"/>
        </w:rPr>
      </w:pPr>
    </w:p>
    <w:p>
      <w:pPr>
        <w:ind w:right="120" w:firstLine="490"/>
        <w:spacing w:after="0" w:line="263" w:lineRule="auto"/>
        <w:rPr>
          <w:sz w:val="20"/>
          <w:szCs w:val="20"/>
          <w:color w:val="auto"/>
        </w:rPr>
      </w:pPr>
      <w:r>
        <w:rPr>
          <w:rFonts w:ascii="Times New Roman" w:cs="Times New Roman" w:eastAsia="Times New Roman" w:hAnsi="Times New Roman"/>
          <w:sz w:val="19"/>
          <w:szCs w:val="19"/>
          <w:color w:val="auto"/>
        </w:rPr>
        <w:t>With passage of the FDA’s Modernization Act 2.0 in December 2022, Congress eliminated provisions in both the FDCA and the PHSA that required animal testing in support of an NDA or BLA.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 such as organ-on-a-chip systems and computational modeling, which are referred to as in silico models, as well as advanced in vitro assays.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The IND and IRB Processes</w:t>
      </w:r>
    </w:p>
    <w:p>
      <w:pPr>
        <w:spacing w:after="0" w:line="236" w:lineRule="exact"/>
        <w:rPr>
          <w:sz w:val="20"/>
          <w:szCs w:val="20"/>
          <w:color w:val="auto"/>
        </w:rPr>
      </w:pPr>
    </w:p>
    <w:p>
      <w:pPr>
        <w:ind w:right="100" w:firstLine="489"/>
        <w:spacing w:after="0" w:line="246"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201" w:lineRule="exact"/>
        <w:rPr>
          <w:sz w:val="20"/>
          <w:szCs w:val="20"/>
          <w:color w:val="auto"/>
        </w:rPr>
      </w:pPr>
    </w:p>
    <w:p>
      <w:pPr>
        <w:ind w:right="60" w:firstLine="489"/>
        <w:spacing w:after="0" w:line="245" w:lineRule="auto"/>
        <w:rPr>
          <w:sz w:val="20"/>
          <w:szCs w:val="20"/>
          <w:color w:val="auto"/>
        </w:rPr>
      </w:pPr>
      <w:r>
        <w:rPr>
          <w:rFonts w:ascii="Times New Roman" w:cs="Times New Roman" w:eastAsia="Times New Roman" w:hAnsi="Times New Roman"/>
          <w:sz w:val="20"/>
          <w:szCs w:val="20"/>
          <w:color w:val="auto"/>
        </w:rPr>
        <w:t>An IND is an exemption from the FDCA that allows an unapproved product candidate to be shipped in interstate commerce for use in an investigational clinical trial and a request for FDA authorization to administer an investigational drug to humans. Such authorization must be secured prior to interstate shipment and administration of any new drug or biologic that is not the subject of an approved NDA or BLA. In support of a request for an IND, sponsors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assure the safety and rights of patients and to help assure that the quality of the investigation will be adequate to permit an evaluation of the drug’s effectiveness and safety and of the biological product’s safety, purity and potency. At any time during this 30-day period, or thereafter, the FDA</w:t>
      </w:r>
    </w:p>
    <w:p>
      <w:pPr>
        <w:sectPr>
          <w:pgSz w:w="11880" w:h="15480" w:orient="portrait"/>
          <w:cols w:equalWidth="0" w:num="1">
            <w:col w:w="9720"/>
          </w:cols>
          <w:pgMar w:left="1080" w:top="1079" w:right="10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720"/>
          </w:cols>
          <w:pgMar w:left="1080" w:top="1079" w:right="1080" w:bottom="0" w:gutter="0" w:footer="0" w:header="0"/>
          <w:type w:val="continuous"/>
        </w:sectPr>
      </w:pPr>
    </w:p>
    <w:bookmarkStart w:id="32" w:name="page33"/>
    <w:bookmarkEnd w:id="32"/>
    <w:p>
      <w:pPr>
        <w:ind w:right="280"/>
        <w:spacing w:after="0" w:line="260" w:lineRule="auto"/>
        <w:rPr>
          <w:sz w:val="20"/>
          <w:szCs w:val="20"/>
          <w:color w:val="auto"/>
        </w:rPr>
      </w:pPr>
      <w:r>
        <w:rPr>
          <w:rFonts w:ascii="Times New Roman" w:cs="Times New Roman" w:eastAsia="Times New Roman" w:hAnsi="Times New Roman"/>
          <w:sz w:val="20"/>
          <w:szCs w:val="20"/>
          <w:color w:val="auto"/>
        </w:rPr>
        <w:t>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83" w:lineRule="exact"/>
        <w:rPr>
          <w:sz w:val="20"/>
          <w:szCs w:val="20"/>
          <w:color w:val="auto"/>
        </w:rPr>
      </w:pPr>
    </w:p>
    <w:p>
      <w:pPr>
        <w:jc w:val="both"/>
        <w:ind w:right="280" w:firstLine="490"/>
        <w:spacing w:after="0" w:line="246" w:lineRule="auto"/>
        <w:rPr>
          <w:sz w:val="20"/>
          <w:szCs w:val="20"/>
          <w:color w:val="auto"/>
        </w:rPr>
      </w:pPr>
      <w:r>
        <w:rPr>
          <w:rFonts w:ascii="Times New Roman" w:cs="Times New Roman" w:eastAsia="Times New Roman" w:hAnsi="Times New Roman"/>
          <w:sz w:val="20"/>
          <w:szCs w:val="20"/>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FDA’s primary objectives in reviewing an IND are to assure the safety and rights of patients and to help assure that the quality of the investigation will be adequate to permit an evaluation of the drug’s effectiveness and safety and of the biological product’s safety, purity and potency. The decision to terminate development of an investigational drug or biological product may be made by either a health authority body such as the FDA, an IRB or ethics committee, or by us for various reasons. Additionally, some trials are overseen by an independent group of qualified experts organized by the trial sponsor, known as a data monitoring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Reporting Clinical Trial Results</w:t>
      </w:r>
    </w:p>
    <w:p>
      <w:pPr>
        <w:spacing w:after="0" w:line="236" w:lineRule="exact"/>
        <w:rPr>
          <w:sz w:val="20"/>
          <w:szCs w:val="20"/>
          <w:color w:val="auto"/>
        </w:rPr>
      </w:pPr>
    </w:p>
    <w:p>
      <w:pPr>
        <w:ind w:right="240" w:firstLine="489"/>
        <w:spacing w:after="0" w:line="245" w:lineRule="auto"/>
        <w:rPr>
          <w:sz w:val="20"/>
          <w:szCs w:val="20"/>
          <w:color w:val="auto"/>
        </w:rPr>
      </w:pPr>
      <w:r>
        <w:rPr>
          <w:rFonts w:ascii="Times New Roman" w:cs="Times New Roman" w:eastAsia="Times New Roman" w:hAnsi="Times New Roman"/>
          <w:sz w:val="20"/>
          <w:szCs w:val="20"/>
          <w:color w:val="auto"/>
        </w:rPr>
        <w:t>Under the PHSA, sponsors of clinical trials of certain FDA-regulated products, including prescription drugs and biologics,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The NIH’s Final Rule on registration and reporting requirements for clinical trials became effective in 2017.</w:t>
      </w:r>
    </w:p>
    <w:p>
      <w:pPr>
        <w:spacing w:after="0" w:line="20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PHSA grants the Secretary of Health and Human Services the authority to issue a notice of noncompliance to a responsible party for failure to submit clinical trial information as required. The responsible party, however, is allowed 30 days to correct the noncompliance and submit the required information. As of December 19, 2025, the FDA has issued eight notices of non-compliance, thereby signaling the government’s willingness to begin enforcing these requirements against non-compliant clinical trial sponsors. While these notices of non-compliance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Expanded Access to an Investigational Drug for Treatment Use</w:t>
      </w:r>
    </w:p>
    <w:p>
      <w:pPr>
        <w:spacing w:after="0" w:line="237"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 -patient IND applications for treatment in emergency settings and non-emergency settings); intermediate-size patient populations; and larger populations for use of the drug under a treatment protocol or Treatment IND Application.</w:t>
      </w:r>
    </w:p>
    <w:p>
      <w:pPr>
        <w:spacing w:after="0" w:line="202"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700"/>
          </w:cols>
          <w:pgMar w:left="1080" w:top="1064" w:right="1100" w:bottom="0" w:gutter="0" w:footer="0" w:header="0"/>
          <w:type w:val="continuous"/>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20"/>
          <w:szCs w:val="20"/>
          <w:color w:val="auto"/>
        </w:rPr>
        <w:t>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91"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There is no obligation for a sponsor to make its investigational products available for expanded access; however, as required by amendments to the FDCA included in the 21st Century Cures Act, or the Cures Act, passed in 2016, if a sponsor has a policy regarding how it responds to expanded access requests with respect to product candidates in development to treat serious diseases or conditions, it must make that policy publicly available. Sponsors are required to make such policies publicly available upon the earlier of initiation of a Phase 2 or Phase 3 study for a covered investigational product; or 15 days after the investigational product receives designation from the FDA as a breakthrough therapy, fast track product, or regenerative medicine advanced therapy. In October 2025, the FDA issued final guidance further clarifying the statutory and regulatory requirements governing expanded access.</w:t>
      </w:r>
    </w:p>
    <w:p>
      <w:pPr>
        <w:spacing w:after="0" w:line="20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Human Clinical Studies in Support of an NDA or BLA</w:t>
      </w:r>
    </w:p>
    <w:p>
      <w:pPr>
        <w:spacing w:after="0" w:line="236" w:lineRule="exact"/>
        <w:rPr>
          <w:sz w:val="20"/>
          <w:szCs w:val="20"/>
          <w:color w:val="auto"/>
        </w:rPr>
      </w:pPr>
    </w:p>
    <w:p>
      <w:pPr>
        <w:ind w:right="80" w:firstLine="489"/>
        <w:spacing w:after="0" w:line="250"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which may overlap or be combined:</w:t>
      </w:r>
    </w:p>
    <w:p>
      <w:pPr>
        <w:spacing w:after="0" w:line="254" w:lineRule="exact"/>
        <w:rPr>
          <w:sz w:val="20"/>
          <w:szCs w:val="20"/>
          <w:color w:val="auto"/>
        </w:rPr>
      </w:pPr>
    </w:p>
    <w:p>
      <w:pPr>
        <w:ind w:left="860" w:right="20" w:hanging="363"/>
        <w:spacing w:after="0" w:line="253" w:lineRule="auto"/>
        <w:tabs>
          <w:tab w:leader="none" w:pos="86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Phase 1: The drug or biologic is initially introduced into a small number of healthy human subjects or patients with the target disease or condition and tested for safety, dosage tolerance, absorption, metabolism, distribution, excretion and, if possible, to gain an early indication of its effectiveness and to determine optimal dosage.</w:t>
      </w:r>
    </w:p>
    <w:p>
      <w:pPr>
        <w:spacing w:after="0" w:line="204" w:lineRule="exact"/>
        <w:rPr>
          <w:rFonts w:ascii="Arial" w:cs="Arial" w:eastAsia="Arial" w:hAnsi="Arial"/>
          <w:sz w:val="20"/>
          <w:szCs w:val="20"/>
          <w:color w:val="auto"/>
        </w:rPr>
      </w:pPr>
    </w:p>
    <w:p>
      <w:pPr>
        <w:ind w:left="860" w:right="100" w:hanging="363"/>
        <w:spacing w:after="0" w:line="260" w:lineRule="auto"/>
        <w:tabs>
          <w:tab w:leader="none" w:pos="86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Phase 2: The drug or biologic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96" w:lineRule="exact"/>
        <w:rPr>
          <w:rFonts w:ascii="Arial" w:cs="Arial" w:eastAsia="Arial" w:hAnsi="Arial"/>
          <w:sz w:val="20"/>
          <w:szCs w:val="20"/>
          <w:color w:val="auto"/>
        </w:rPr>
      </w:pPr>
    </w:p>
    <w:p>
      <w:pPr>
        <w:jc w:val="both"/>
        <w:ind w:left="860" w:right="160" w:hanging="363"/>
        <w:spacing w:after="0" w:line="253" w:lineRule="auto"/>
        <w:tabs>
          <w:tab w:leader="none" w:pos="86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Phase 3: The drug or biologic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In some cases, the FDA may approve an NDA or BLA for a product candidate but require the sponsor to conduct additional clinical trials to further assess the product candidate’s safety and effectiveness after approval. Such post-approval trials, typically referred to as Phase 4 clinical trials, may be conducted after initial marketing approval. These trials are used to gain additional experience from the treatment of a larger number of patients in the intended treatment group. In certain instances, the FDA may mandate the performance of Phase 4 clinical trials, such as to verify clinical benefit in the case of products approved under accelerated approval regulations. Failure to exhibit due diligence with regard to conducting mandatory Phase 4 clinical trials could result in withdrawal of FDA approval for products.</w:t>
      </w:r>
    </w:p>
    <w:p>
      <w:pPr>
        <w:spacing w:after="0" w:line="201" w:lineRule="exact"/>
        <w:rPr>
          <w:sz w:val="20"/>
          <w:szCs w:val="20"/>
          <w:color w:val="auto"/>
        </w:rPr>
      </w:pPr>
    </w:p>
    <w:p>
      <w:pPr>
        <w:ind w:right="80" w:firstLine="489"/>
        <w:spacing w:after="0" w:line="259" w:lineRule="auto"/>
        <w:rPr>
          <w:sz w:val="20"/>
          <w:szCs w:val="20"/>
          <w:color w:val="auto"/>
        </w:rPr>
      </w:pPr>
      <w:r>
        <w:rPr>
          <w:rFonts w:ascii="Times New Roman" w:cs="Times New Roman" w:eastAsia="Times New Roman" w:hAnsi="Times New Roman"/>
          <w:sz w:val="20"/>
          <w:szCs w:val="20"/>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700"/>
          </w:cols>
          <w:pgMar w:left="1080" w:top="1064" w:right="1100" w:bottom="0" w:gutter="0" w:footer="0" w:header="0"/>
          <w:type w:val="continuous"/>
        </w:sectPr>
      </w:pPr>
    </w:p>
    <w:bookmarkStart w:id="34" w:name="page35"/>
    <w:bookmarkEnd w:id="34"/>
    <w:p>
      <w:pPr>
        <w:spacing w:after="0" w:line="248" w:lineRule="auto"/>
        <w:rPr>
          <w:sz w:val="20"/>
          <w:szCs w:val="20"/>
          <w:color w:val="auto"/>
        </w:rPr>
      </w:pPr>
      <w:r>
        <w:rPr>
          <w:rFonts w:ascii="Times New Roman" w:cs="Times New Roman" w:eastAsia="Times New Roman" w:hAnsi="Times New Roman"/>
          <w:sz w:val="20"/>
          <w:szCs w:val="20"/>
          <w:color w:val="auto"/>
        </w:rPr>
        <w:t>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94" w:lineRule="exact"/>
        <w:rPr>
          <w:sz w:val="20"/>
          <w:szCs w:val="20"/>
          <w:color w:val="auto"/>
        </w:rPr>
      </w:pPr>
    </w:p>
    <w:p>
      <w:pPr>
        <w:ind w:right="220" w:firstLine="490"/>
        <w:spacing w:after="0" w:line="250" w:lineRule="auto"/>
        <w:rPr>
          <w:sz w:val="20"/>
          <w:szCs w:val="20"/>
          <w:color w:val="auto"/>
        </w:rPr>
      </w:pPr>
      <w:r>
        <w:rPr>
          <w:rFonts w:ascii="Times New Roman" w:cs="Times New Roman" w:eastAsia="Times New Roman" w:hAnsi="Times New Roman"/>
          <w:sz w:val="20"/>
          <w:szCs w:val="20"/>
          <w:color w:val="auto"/>
        </w:rPr>
        <w:t>In December 2022, with the passage of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w:t>
      </w:r>
    </w:p>
    <w:p>
      <w:pPr>
        <w:spacing w:after="0" w:line="193" w:lineRule="exact"/>
        <w:rPr>
          <w:sz w:val="20"/>
          <w:szCs w:val="20"/>
          <w:color w:val="auto"/>
        </w:rPr>
      </w:pPr>
    </w:p>
    <w:p>
      <w:pPr>
        <w:ind w:firstLine="489"/>
        <w:spacing w:after="0" w:line="244" w:lineRule="auto"/>
        <w:rPr>
          <w:sz w:val="20"/>
          <w:szCs w:val="20"/>
          <w:color w:val="auto"/>
        </w:rPr>
      </w:pPr>
      <w:r>
        <w:rPr>
          <w:rFonts w:ascii="Times New Roman" w:cs="Times New Roman" w:eastAsia="Times New Roman" w:hAnsi="Times New Roman"/>
          <w:sz w:val="20"/>
          <w:szCs w:val="20"/>
          <w:color w:val="auto"/>
        </w:rPr>
        <w:t>On January 27, 2025, in response to an executive order issued by President Trump on January 21, 2025, relating to Diversity, Equity and Inclusion programs, the FDA removed the draft DAP guidance from its website. That action, along with similar actions by the Trump Administration to remove many other healthcare webpages, is currently the subject of ongoing litigation. On July 3, 2025, the U.S. District Court for the District of Columbia ruled that the Trump Administration’s actions to remove these webpages, including the draft DAP guidance, are unlawful under the Administrative Procedure Act.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NDAs and BLAs.</w:t>
      </w:r>
    </w:p>
    <w:p>
      <w:pPr>
        <w:spacing w:after="0" w:line="202"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In September 2025, the FDA issued final guidance with updated recommendations for GCPs aimed at modernizing the design and conduct of clinical trials. The updates are intended to help pave the way for more efficient clinical trials to facilitate the development of medical products. The final guidance is adopted from the International Council for Harmonisation’s recently updated E6(R3) final guideline that was developed to enable the incorporation of rapidly developing technological and methodological innovations into the clinical trial enterprise. In September 2024, the FDA finalized guidance outlining recommendations for the implementation of decentralized clinical trials.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Clinical Trials Outside the United States in Support of FDA Approval</w:t>
      </w:r>
    </w:p>
    <w:p>
      <w:pPr>
        <w:spacing w:after="0" w:line="23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our clinical development program, we utilize trial sites outside the United States from time to time. When a foreign clinical trial is conducted under an IND, all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trials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acceptance by the FDA of trial data from clinical trials conducted outside the United States in support of US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December 2025, in the context of negotiations involving reauthorization of Prescription Drug User Fee Act, or PDUFA, the FDA proposed cutting fees for companies conducting clinical development programs in the United States, rather than abroad. It is unclear whether and how this proposal will be adopted and finalized.</w:t>
      </w:r>
    </w:p>
    <w:p>
      <w:pPr>
        <w:spacing w:after="0" w:line="203"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auto"/>
        </w:rPr>
        <w:t>In addition, even where the foreign trial data are not intended to serve as the sole basis for approval, the FDA will not accept the data as support for an application for marketing approval unless the trial is well-designed and well-</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700"/>
          </w:cols>
          <w:pgMar w:left="1080" w:top="1064" w:right="1100" w:bottom="0" w:gutter="0" w:footer="0" w:header="0"/>
          <w:type w:val="continuous"/>
        </w:sectPr>
      </w:pPr>
    </w:p>
    <w:bookmarkStart w:id="35" w:name="page36"/>
    <w:bookmarkEnd w:id="35"/>
    <w:p>
      <w:pPr>
        <w:ind w:right="40"/>
        <w:spacing w:after="0" w:line="260" w:lineRule="auto"/>
        <w:rPr>
          <w:sz w:val="20"/>
          <w:szCs w:val="20"/>
          <w:color w:val="auto"/>
        </w:rPr>
      </w:pPr>
      <w:r>
        <w:rPr>
          <w:rFonts w:ascii="Times New Roman" w:cs="Times New Roman" w:eastAsia="Times New Roman" w:hAnsi="Times New Roman"/>
          <w:sz w:val="20"/>
          <w:szCs w:val="20"/>
          <w:color w:val="auto"/>
        </w:rPr>
        <w:t>conducted in accordance with GCP requirements and the FDA is able to validate the data from the trial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Interactions with FDA During the Clinical Development Program</w:t>
      </w:r>
    </w:p>
    <w:p>
      <w:pPr>
        <w:spacing w:after="0" w:line="23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 xml:space="preserve">Following the clearance of an IND and the commencement of clinical trials, the sponsor will continue to have interactions with the FDA. Progress reports detailing the results of clinical trials must be submitted at least annually to the FDA and more frequently if serious adverse events occur. These reports must include a development safety update report.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 a significant risk in humans exposed to the product candidate;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97"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In addition, sponsors are given opportunities to meet with the FDA at certain points in the clinical development program. Specifically, sponsors may meet with the FDA prior to the submission of an IND (pre-IND meeting), at the end of Phase 2 clinical trial (EOP2 meeting) and before an NDA or BLA is submitted (pre-NDA or pre-BLA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pre-NDA/pre-BLA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which should be limited to no more than two focused topics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203" w:lineRule="exact"/>
        <w:rPr>
          <w:sz w:val="20"/>
          <w:szCs w:val="20"/>
          <w:color w:val="auto"/>
        </w:rPr>
      </w:pPr>
    </w:p>
    <w:p>
      <w:pPr>
        <w:ind w:right="140" w:firstLine="489"/>
        <w:spacing w:after="0" w:line="245" w:lineRule="auto"/>
        <w:rPr>
          <w:sz w:val="20"/>
          <w:szCs w:val="20"/>
          <w:color w:val="auto"/>
        </w:rPr>
      </w:pPr>
      <w:r>
        <w:rPr>
          <w:rFonts w:ascii="Times New Roman" w:cs="Times New Roman" w:eastAsia="Times New Roman" w:hAnsi="Times New Roman"/>
          <w:sz w:val="20"/>
          <w:szCs w:val="20"/>
          <w:color w:val="auto"/>
        </w:rPr>
        <w:t>These meetings provide an opportunity for the sponsor to share information about the data gathered to date with the FDA and for the FDA to provide advice on the next phase of development. For example, at an EOP2 meeting, a sponsor may discuss its Phase 2 clinical results and present its plans for the pivotal Phase 3 clinical trial(s) that it believes will support the approval of the new product. Such meetings may be conducted in person, via teleconference/videoconference or written response only with minutes reflecting the questions that the sponsor posed to the FDA and the FDA’s responses. The FDA has indicated that its responses, as conveyed in meeting minutes and advice letters, only constitute mere recommendations and/or advice made to a sponsor and, as such, sponsors are not bound by such recommendations and/or advice. From a practical perspective, a sponsor’s failure to follow the FDA’s recommendations for design of a clinical program may put the program at significant risk of failure.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Special Protocol Assessment Agreements</w:t>
      </w:r>
    </w:p>
    <w:p>
      <w:pPr>
        <w:spacing w:after="0" w:line="23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A Special Protocol Assessment, or SPA, agreement is an agreement between a sponsor and the FDA on the design and size of studies and clinical trials that can be used for approval of a drug or biological product. The FDA’s guidance on such agreements states that an agreement may not be changed by the sponsor or the agency unless through a written agreement of the two entities or if FDA determines there is a substantial scientific issue essential to determining the safety or effectiveness of the drug or the safety, potency or purity of the biologic product. The protocols that are eligible for SPA agreements are: animal carcinogenicity protocols, final product stability protocols and clinical protocols for Phase 3 trials where the data will form the primary basis for an efficacy claim.</w:t>
      </w:r>
    </w:p>
    <w:p>
      <w:pPr>
        <w:spacing w:after="0" w:line="19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FDA may meet with sponsors, provided certain conditions are met, for the purpose of reaching a SPA agreement on the design and size of clinical trials intended to form the primary basis of an efficacy claim in a marketing application. If a sponsor makes a reasonable written request to meet with the FDA for the purpose of reaching agreement on the design and size of a clinical trial, then the FDA will meet with the sponsor. If an agreement is reached, the FDA will reduce the agreement to writing and make it part of the administrative record. An agreement may not be changed by the sponsor or FDA after the trial begins, except with the written agreement of the sponsor and FDA, or if the director of the FDA reviewing division determines that “a substantial scientific issue essential to determining the safety or</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720"/>
          </w:cols>
          <w:pgMar w:left="1080" w:top="1064" w:right="1080" w:bottom="0" w:gutter="0" w:footer="0" w:header="0"/>
          <w:type w:val="continuous"/>
        </w:sectPr>
      </w:pPr>
    </w:p>
    <w:bookmarkStart w:id="36" w:name="page37"/>
    <w:bookmarkEnd w:id="36"/>
    <w:p>
      <w:pPr>
        <w:ind w:right="240"/>
        <w:spacing w:after="0" w:line="260" w:lineRule="auto"/>
        <w:rPr>
          <w:sz w:val="20"/>
          <w:szCs w:val="20"/>
          <w:color w:val="auto"/>
        </w:rPr>
      </w:pPr>
      <w:r>
        <w:rPr>
          <w:rFonts w:ascii="Times New Roman" w:cs="Times New Roman" w:eastAsia="Times New Roman" w:hAnsi="Times New Roman"/>
          <w:sz w:val="20"/>
          <w:szCs w:val="20"/>
          <w:color w:val="auto"/>
        </w:rPr>
        <w:t>effectiveness of the investigational product was identified after the testing began. If a sponsor and the FDA meet regarding the design and size of a clinical trial and the parties cannot agree that the trial design is adequate to meet the goals of the sponsor, the FDA will clearly state the reasons for the disagreement in a letter to the sponsor.</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Manufacturing and Other Regulatory Requirements</w:t>
      </w:r>
    </w:p>
    <w:p>
      <w:pPr>
        <w:spacing w:after="0" w:line="236" w:lineRule="exact"/>
        <w:rPr>
          <w:sz w:val="20"/>
          <w:szCs w:val="20"/>
          <w:color w:val="auto"/>
        </w:rPr>
      </w:pPr>
    </w:p>
    <w:p>
      <w:pPr>
        <w:ind w:right="220" w:firstLine="489"/>
        <w:spacing w:after="0" w:line="246" w:lineRule="auto"/>
        <w:rPr>
          <w:sz w:val="20"/>
          <w:szCs w:val="20"/>
          <w:color w:val="auto"/>
        </w:rPr>
      </w:pPr>
      <w:r>
        <w:rPr>
          <w:rFonts w:ascii="Times New Roman" w:cs="Times New Roman" w:eastAsia="Times New Roman" w:hAnsi="Times New Roman"/>
          <w:sz w:val="20"/>
          <w:szCs w:val="20"/>
          <w:color w:val="auto"/>
        </w:rPr>
        <w:t>Concurrently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201" w:lineRule="exact"/>
        <w:rPr>
          <w:sz w:val="20"/>
          <w:szCs w:val="20"/>
          <w:color w:val="auto"/>
        </w:rPr>
      </w:pPr>
    </w:p>
    <w:p>
      <w:pPr>
        <w:ind w:right="140" w:firstLine="490"/>
        <w:spacing w:after="0" w:line="242" w:lineRule="auto"/>
        <w:rPr>
          <w:sz w:val="20"/>
          <w:szCs w:val="20"/>
          <w:color w:val="auto"/>
        </w:rPr>
      </w:pPr>
      <w:r>
        <w:rPr>
          <w:rFonts w:ascii="Times New Roman" w:cs="Times New Roman" w:eastAsia="Times New Roman" w:hAnsi="Times New Roman"/>
          <w:sz w:val="20"/>
          <w:szCs w:val="20"/>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 -based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211"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 In May 2025, the FDA disclosed plans to expand its use of unannounced inspections of foreign manufacturing facilities that produce drugs and biologics distributed in the United States.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Pediatric Studies</w:t>
      </w:r>
    </w:p>
    <w:p>
      <w:pPr>
        <w:spacing w:after="0" w:line="23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Under the Pediatric Research Equity Act, or PREA, applications and certain types of supplements to applications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sponsor must submit an initial Pediatric Study Plan, or PSP, within 60 days of an EOP2 meeting or as may be agreed between the sponsor and the FDA. Those plans must contain an outline of the proposed pediatric study or studies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sponsor and the FDA must reach agreement on a final plan.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98"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Pursuant to the Food and Drug Administration Safety and Innovation Act of 2012, or FDASIA, the FDA must send a PREA Non-Compliance letter to sponsors who have failed to</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700"/>
          </w:cols>
          <w:pgMar w:left="1080" w:top="1064" w:right="1100" w:bottom="0" w:gutter="0" w:footer="0" w:header="0"/>
          <w:type w:val="continuous"/>
        </w:sectPr>
      </w:pPr>
    </w:p>
    <w:bookmarkStart w:id="37" w:name="page38"/>
    <w:bookmarkEnd w:id="37"/>
    <w:p>
      <w:pPr>
        <w:ind w:right="100"/>
        <w:spacing w:after="0" w:line="245" w:lineRule="auto"/>
        <w:rPr>
          <w:sz w:val="20"/>
          <w:szCs w:val="20"/>
          <w:color w:val="auto"/>
        </w:rPr>
      </w:pPr>
      <w:r>
        <w:rPr>
          <w:rFonts w:ascii="Times New Roman" w:cs="Times New Roman" w:eastAsia="Times New Roman" w:hAnsi="Times New Roman"/>
          <w:sz w:val="20"/>
          <w:szCs w:val="20"/>
          <w:color w:val="auto"/>
        </w:rPr>
        <w:t>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the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Section 505(b)(2) NDAs</w:t>
      </w:r>
    </w:p>
    <w:p>
      <w:pPr>
        <w:spacing w:after="0" w:line="236" w:lineRule="exact"/>
        <w:rPr>
          <w:sz w:val="20"/>
          <w:szCs w:val="20"/>
          <w:color w:val="auto"/>
        </w:rPr>
      </w:pPr>
    </w:p>
    <w:p>
      <w:pPr>
        <w:ind w:right="120" w:firstLine="489"/>
        <w:spacing w:after="0" w:line="245" w:lineRule="auto"/>
        <w:rPr>
          <w:sz w:val="20"/>
          <w:szCs w:val="20"/>
          <w:color w:val="auto"/>
        </w:rPr>
      </w:pPr>
      <w:r>
        <w:rPr>
          <w:rFonts w:ascii="Times New Roman" w:cs="Times New Roman" w:eastAsia="Times New Roman" w:hAnsi="Times New Roman"/>
          <w:sz w:val="20"/>
          <w:szCs w:val="20"/>
          <w:color w:val="auto"/>
        </w:rPr>
        <w:t>NDAs for most new drug products are based on two full clinical studies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Section 505(b)(2) thus authorizes the FDA to approve an NDA based on safety and effectiveness data that were not developed by the sponsor. NDAs filed under Section 505(b)(2) may provide an alternate and potentially more expeditious pathway to FDA approval for new or improved formulations or new uses of previously approved products. If the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202" w:lineRule="exact"/>
        <w:rPr>
          <w:sz w:val="20"/>
          <w:szCs w:val="20"/>
          <w:color w:val="auto"/>
        </w:rPr>
      </w:pPr>
    </w:p>
    <w:p>
      <w:pPr>
        <w:ind w:right="500" w:firstLine="490"/>
        <w:spacing w:after="0" w:line="280" w:lineRule="auto"/>
        <w:rPr>
          <w:sz w:val="20"/>
          <w:szCs w:val="20"/>
          <w:color w:val="auto"/>
        </w:rPr>
      </w:pPr>
      <w:r>
        <w:rPr>
          <w:rFonts w:ascii="Times New Roman" w:cs="Times New Roman" w:eastAsia="Times New Roman" w:hAnsi="Times New Roman"/>
          <w:sz w:val="20"/>
          <w:szCs w:val="20"/>
          <w:color w:val="auto"/>
        </w:rPr>
        <w:t>If we obtain favorable results in our clinical trials, we plan to submit NDAs for our product candidates under Section 505(b)(2).</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Acceptance and Review of NDAs and BLAs</w:t>
      </w:r>
    </w:p>
    <w:p>
      <w:pPr>
        <w:spacing w:after="0" w:line="23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along with information relating to the product’s chemistry, manufacturing, controls, safety updates, patent information, abuse information 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a drug product and the safety, potency and purity of the biological product to the satisfaction of the FDA.</w:t>
      </w:r>
    </w:p>
    <w:p>
      <w:pPr>
        <w:spacing w:after="0" w:line="203"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auto"/>
        </w:rPr>
        <w:t>The fee required for the submission and review of an application under PDUFA is substantial (for example, for FY2026 this application fee is approximately $4.7 million), and the sponsor of an approved application is also subject to an annual program fee, which for FY2026 is currently set at $442,213 per eligible prescription product.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193" w:lineRule="exact"/>
        <w:rPr>
          <w:sz w:val="20"/>
          <w:szCs w:val="20"/>
          <w:color w:val="auto"/>
        </w:rPr>
      </w:pPr>
    </w:p>
    <w:p>
      <w:pPr>
        <w:ind w:right="80" w:firstLine="490"/>
        <w:spacing w:after="0" w:line="248" w:lineRule="auto"/>
        <w:rPr>
          <w:sz w:val="20"/>
          <w:szCs w:val="20"/>
          <w:color w:val="auto"/>
        </w:rPr>
      </w:pPr>
      <w:r>
        <w:rPr>
          <w:rFonts w:ascii="Times New Roman" w:cs="Times New Roman" w:eastAsia="Times New Roman" w:hAnsi="Times New Roman"/>
          <w:sz w:val="20"/>
          <w:szCs w:val="20"/>
          <w:color w:val="auto"/>
        </w:rPr>
        <w:t>The FDA conducts a preliminary review of all applications within 60 days of receipt and must inform the sponsor at that time or before whether an application is sufficiently complete to permit substantive review. In pertinent part, FDA’s regulations state that an application “shall not be considered as filed until all pertinent information and data have been received” by the FDA. In the event that FDA determines that an application does not satisfy this standard, it will issue a Refuse to File, or RTF, determination to the sponsor. Typically, an RTF will be based on administrative incompleteness, such as clear omission of information or sections of required information; scientific incompleteness,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700"/>
          </w:cols>
          <w:pgMar w:left="1080" w:top="1064" w:right="1100" w:bottom="0" w:gutter="0" w:footer="0" w:header="0"/>
          <w:type w:val="continuous"/>
        </w:sectPr>
      </w:pPr>
    </w:p>
    <w:bookmarkStart w:id="38" w:name="page39"/>
    <w:bookmarkEnd w:id="38"/>
    <w:p>
      <w:pPr>
        <w:ind w:right="140"/>
        <w:spacing w:after="0" w:line="250" w:lineRule="auto"/>
        <w:rPr>
          <w:sz w:val="20"/>
          <w:szCs w:val="20"/>
          <w:color w:val="auto"/>
        </w:rPr>
      </w:pPr>
      <w:r>
        <w:rPr>
          <w:rFonts w:ascii="Times New Roman" w:cs="Times New Roman" w:eastAsia="Times New Roman" w:hAnsi="Times New Roman"/>
          <w:sz w:val="20"/>
          <w:szCs w:val="20"/>
          <w:color w:val="auto"/>
        </w:rPr>
        <w:t>such as omission of critical data, information or analyses needed to evaluate safety and efficacy or provide adequate directions for use; or inadequate content, presentation, or organization of information such that substantive and meaningful review is precluded. The FDA may request additional information rather than accept an application for filing. In this event, the application must be resubmitted with the additional information. The resubmitted application is also subject to review before the FDA accepts it for filing.</w:t>
      </w:r>
    </w:p>
    <w:p>
      <w:pPr>
        <w:spacing w:after="0" w:line="19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After the submission is accepted for filing, the FDA begins an in-depth substantive review of the application. The FDA reviews the application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an application to extend beyond the PDUFA target action date. The FDA’s ability to meet its review goals may be affected by a variety of factors, including government budget and funding levels, the ability to hire and retain key personnel and statutory, regulatory and policy changes. Average review times at the FDA have fluctuated in recent years.</w:t>
      </w:r>
    </w:p>
    <w:p>
      <w:pPr>
        <w:spacing w:after="0" w:line="206"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In connection with its review of an application, the FDA will typically submit information requests to the sponsor and set deadlines for responses thereto. The FDA will also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are adequate to assure consistent production of the product within required specifications.</w:t>
      </w:r>
    </w:p>
    <w:p>
      <w:pPr>
        <w:spacing w:after="0" w:line="19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FDA also may inspect the sponsor and one or more clinical trial sites to assure compliance with IND and GCP requirements and the integrity of the clinical data submitted to the FDA.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 To ensure cGMP and GCP compliance by its employees and third -party contractors, a sponsor may incur significant expenditure of time, money and effort in the areas of training, record keeping, production and quality control.</w:t>
      </w:r>
    </w:p>
    <w:p>
      <w:pPr>
        <w:spacing w:after="0" w:line="199" w:lineRule="exact"/>
        <w:rPr>
          <w:sz w:val="20"/>
          <w:szCs w:val="20"/>
          <w:color w:val="auto"/>
        </w:rPr>
      </w:pPr>
    </w:p>
    <w:p>
      <w:pPr>
        <w:ind w:firstLine="489"/>
        <w:spacing w:after="0" w:line="260" w:lineRule="auto"/>
        <w:rPr>
          <w:sz w:val="20"/>
          <w:szCs w:val="20"/>
          <w:color w:val="auto"/>
        </w:rPr>
      </w:pPr>
      <w:r>
        <w:rPr>
          <w:rFonts w:ascii="Times New Roman" w:cs="Times New Roman" w:eastAsia="Times New Roman" w:hAnsi="Times New Roman"/>
          <w:sz w:val="19"/>
          <w:szCs w:val="19"/>
          <w:color w:val="auto"/>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188" w:lineRule="exact"/>
        <w:rPr>
          <w:sz w:val="20"/>
          <w:szCs w:val="20"/>
          <w:color w:val="auto"/>
        </w:rPr>
      </w:pPr>
    </w:p>
    <w:p>
      <w:pPr>
        <w:ind w:right="20" w:firstLine="489"/>
        <w:spacing w:after="0" w:line="245" w:lineRule="auto"/>
        <w:rPr>
          <w:sz w:val="20"/>
          <w:szCs w:val="20"/>
          <w:color w:val="auto"/>
        </w:rPr>
      </w:pPr>
      <w:r>
        <w:rPr>
          <w:rFonts w:ascii="Times New Roman" w:cs="Times New Roman" w:eastAsia="Times New Roman" w:hAnsi="Times New Roman"/>
          <w:sz w:val="20"/>
          <w:szCs w:val="20"/>
          <w:color w:val="auto"/>
        </w:rPr>
        <w:t>Additionally, the FDA may refer an application,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sponsor interprets the same data. The FDA may also re-analyze the clinical trial data, which could result in extensive discussions between the FDA and the sponsor during the review process.</w:t>
      </w:r>
    </w:p>
    <w:p>
      <w:pPr>
        <w:spacing w:after="0" w:line="196" w:lineRule="exact"/>
        <w:rPr>
          <w:sz w:val="20"/>
          <w:szCs w:val="20"/>
          <w:color w:val="auto"/>
        </w:rPr>
      </w:pPr>
    </w:p>
    <w:p>
      <w:pPr>
        <w:ind w:right="20" w:firstLine="489"/>
        <w:spacing w:after="0" w:line="250" w:lineRule="auto"/>
        <w:rPr>
          <w:sz w:val="20"/>
          <w:szCs w:val="20"/>
          <w:color w:val="auto"/>
        </w:rPr>
      </w:pPr>
      <w:r>
        <w:rPr>
          <w:rFonts w:ascii="Times New Roman" w:cs="Times New Roman" w:eastAsia="Times New Roman" w:hAnsi="Times New Roman"/>
          <w:sz w:val="20"/>
          <w:szCs w:val="20"/>
          <w:color w:val="auto"/>
        </w:rPr>
        <w:t>The FDA also may require submission of a Risk Evaluation and Mitigation Strategy, or REMS, if it determines that a REMS is necessary to ensure that the benefits of the product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700"/>
          </w:cols>
          <w:pgMar w:left="1080" w:top="1064" w:right="1100" w:bottom="0" w:gutter="0" w:footer="0" w:header="0"/>
          <w:type w:val="continuous"/>
        </w:sectPr>
      </w:pPr>
    </w:p>
    <w:bookmarkStart w:id="39" w:name="page40"/>
    <w:bookmarkEnd w:id="39"/>
    <w:p>
      <w:pPr>
        <w:ind w:right="600"/>
        <w:spacing w:after="0" w:line="280" w:lineRule="auto"/>
        <w:rPr>
          <w:sz w:val="20"/>
          <w:szCs w:val="20"/>
          <w:color w:val="auto"/>
        </w:rPr>
      </w:pPr>
      <w:r>
        <w:rPr>
          <w:rFonts w:ascii="Times New Roman" w:cs="Times New Roman" w:eastAsia="Times New Roman" w:hAnsi="Times New Roman"/>
          <w:sz w:val="20"/>
          <w:szCs w:val="20"/>
          <w:color w:val="auto"/>
        </w:rPr>
        <w:t>concludes a REMS is needed, the sponsor of the application must submit a proposed REMS and the FDA will not approve the application without a REMS.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Decisions on NDAs and BLAs</w:t>
      </w:r>
    </w:p>
    <w:p>
      <w:pPr>
        <w:spacing w:after="0" w:line="236" w:lineRule="exact"/>
        <w:rPr>
          <w:sz w:val="20"/>
          <w:szCs w:val="20"/>
          <w:color w:val="auto"/>
        </w:rPr>
      </w:pPr>
    </w:p>
    <w:p>
      <w:pPr>
        <w:ind w:right="80" w:firstLine="489"/>
        <w:spacing w:after="0" w:line="246" w:lineRule="auto"/>
        <w:rPr>
          <w:sz w:val="20"/>
          <w:szCs w:val="20"/>
          <w:color w:val="auto"/>
        </w:rPr>
      </w:pPr>
      <w:r>
        <w:rPr>
          <w:rFonts w:ascii="Times New Roman" w:cs="Times New Roman" w:eastAsia="Times New Roman" w:hAnsi="Times New Roman"/>
          <w:sz w:val="20"/>
          <w:szCs w:val="20"/>
          <w:color w:val="auto"/>
        </w:rPr>
        <w:t>The FDA reviews an application to determine, among other things, whether the product is safe and whether it is effective for its intended use(s), with the latter determination being made on the basis of substantial evidence. The term “substantial evidence” is defined under the FDCA as “evidence consisting of adequate and well-controlled investigations, including clinical investigations, by experts qualified by scientific training and experience to evaluate the effectiveness of the product involved, on the basis of which it could fairly and responsibly be concluded by such experts that the product will have the effect it purports or is represented to have under the conditions of use prescribed, recommended, or suggested in the labeling or proposed labeling thereof.”</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FDA has interpreted this evidentiary standard to require at least two adequate and well-controlled clinical</w:t>
      </w:r>
    </w:p>
    <w:p>
      <w:pPr>
        <w:spacing w:after="0"/>
        <w:rPr>
          <w:sz w:val="20"/>
          <w:szCs w:val="20"/>
          <w:color w:val="auto"/>
        </w:rPr>
      </w:pPr>
      <w:r>
        <w:rPr>
          <w:rFonts w:ascii="Times New Roman" w:cs="Times New Roman" w:eastAsia="Times New Roman" w:hAnsi="Times New Roman"/>
          <w:sz w:val="20"/>
          <w:szCs w:val="20"/>
          <w:color w:val="auto"/>
        </w:rPr>
        <w:t>investigations to establish effectiveness of a new product. Under certain circumstances, however, FDA has indicated that</w:t>
      </w:r>
    </w:p>
    <w:p>
      <w:pPr>
        <w:spacing w:after="0"/>
        <w:rPr>
          <w:sz w:val="20"/>
          <w:szCs w:val="20"/>
          <w:color w:val="auto"/>
        </w:rPr>
      </w:pPr>
      <w:r>
        <w:rPr>
          <w:rFonts w:ascii="Times New Roman" w:cs="Times New Roman" w:eastAsia="Times New Roman" w:hAnsi="Times New Roman"/>
          <w:sz w:val="20"/>
          <w:szCs w:val="20"/>
          <w:color w:val="auto"/>
        </w:rPr>
        <w:t>a single trial with certain characteristics and additional information may satisfy this standard. This approach was</w:t>
      </w:r>
    </w:p>
    <w:p>
      <w:pPr>
        <w:spacing w:after="0"/>
        <w:rPr>
          <w:sz w:val="20"/>
          <w:szCs w:val="20"/>
          <w:color w:val="auto"/>
        </w:rPr>
      </w:pPr>
      <w:r>
        <w:rPr>
          <w:rFonts w:ascii="Times New Roman" w:cs="Times New Roman" w:eastAsia="Times New Roman" w:hAnsi="Times New Roman"/>
          <w:sz w:val="20"/>
          <w:szCs w:val="20"/>
          <w:color w:val="auto"/>
        </w:rPr>
        <w:t>subsequently endorsed by Congress in 1998 with legislation providing, in pertinent part, that “If FDA determines, based</w:t>
      </w:r>
    </w:p>
    <w:p>
      <w:pPr>
        <w:spacing w:after="0"/>
        <w:rPr>
          <w:sz w:val="20"/>
          <w:szCs w:val="20"/>
          <w:color w:val="auto"/>
        </w:rPr>
      </w:pPr>
      <w:r>
        <w:rPr>
          <w:rFonts w:ascii="Times New Roman" w:cs="Times New Roman" w:eastAsia="Times New Roman" w:hAnsi="Times New Roman"/>
          <w:sz w:val="20"/>
          <w:szCs w:val="20"/>
          <w:color w:val="auto"/>
        </w:rPr>
        <w:t>on relevant science, that data from one adequate and well-controlled clinical investigation and confirmatory evidence</w:t>
      </w:r>
    </w:p>
    <w:p>
      <w:pPr>
        <w:spacing w:after="0"/>
        <w:rPr>
          <w:sz w:val="20"/>
          <w:szCs w:val="20"/>
          <w:color w:val="auto"/>
        </w:rPr>
      </w:pPr>
      <w:r>
        <w:rPr>
          <w:rFonts w:ascii="Times New Roman" w:cs="Times New Roman" w:eastAsia="Times New Roman" w:hAnsi="Times New Roman"/>
          <w:sz w:val="20"/>
          <w:szCs w:val="20"/>
          <w:color w:val="auto"/>
        </w:rPr>
        <w:t>(obtained prior to or after such investigation) are sufficient to establish effectiveness, FDA may consider such data and</w:t>
      </w:r>
    </w:p>
    <w:p>
      <w:pPr>
        <w:spacing w:after="0"/>
        <w:rPr>
          <w:sz w:val="20"/>
          <w:szCs w:val="20"/>
          <w:color w:val="auto"/>
        </w:rPr>
      </w:pPr>
      <w:r>
        <w:rPr>
          <w:rFonts w:ascii="Times New Roman" w:cs="Times New Roman" w:eastAsia="Times New Roman" w:hAnsi="Times New Roman"/>
          <w:sz w:val="20"/>
          <w:szCs w:val="20"/>
          <w:color w:val="auto"/>
        </w:rPr>
        <w:t>evidence to constitute substantial evidence.” This modification to the law recognized the potential for FDA to find that</w:t>
      </w:r>
    </w:p>
    <w:p>
      <w:pPr>
        <w:spacing w:after="0"/>
        <w:rPr>
          <w:sz w:val="20"/>
          <w:szCs w:val="20"/>
          <w:color w:val="auto"/>
        </w:rPr>
      </w:pPr>
      <w:r>
        <w:rPr>
          <w:rFonts w:ascii="Times New Roman" w:cs="Times New Roman" w:eastAsia="Times New Roman" w:hAnsi="Times New Roman"/>
          <w:sz w:val="20"/>
          <w:szCs w:val="20"/>
          <w:color w:val="auto"/>
        </w:rPr>
        <w:t>one adequate and well controlled clinical investigation with confirmatory evidence, including supportive data outside of</w:t>
      </w:r>
    </w:p>
    <w:p>
      <w:pPr>
        <w:spacing w:after="0"/>
        <w:rPr>
          <w:sz w:val="20"/>
          <w:szCs w:val="20"/>
          <w:color w:val="auto"/>
        </w:rPr>
      </w:pPr>
      <w:r>
        <w:rPr>
          <w:rFonts w:ascii="Times New Roman" w:cs="Times New Roman" w:eastAsia="Times New Roman" w:hAnsi="Times New Roman"/>
          <w:sz w:val="20"/>
          <w:szCs w:val="20"/>
          <w:color w:val="auto"/>
        </w:rPr>
        <w:t>a controlled trial, is sufficient to establish effectiveness. In December 2019, FDA issued draft guidance further</w:t>
      </w:r>
    </w:p>
    <w:p>
      <w:pPr>
        <w:spacing w:after="0"/>
        <w:rPr>
          <w:sz w:val="20"/>
          <w:szCs w:val="20"/>
          <w:color w:val="auto"/>
        </w:rPr>
      </w:pPr>
      <w:r>
        <w:rPr>
          <w:rFonts w:ascii="Times New Roman" w:cs="Times New Roman" w:eastAsia="Times New Roman" w:hAnsi="Times New Roman"/>
          <w:sz w:val="20"/>
          <w:szCs w:val="20"/>
          <w:color w:val="auto"/>
        </w:rPr>
        <w:t>explaining the studies that are needed to establish substantial evidence of effectiveness. The FDA also issued draft</w:t>
      </w:r>
    </w:p>
    <w:p>
      <w:pPr>
        <w:spacing w:after="0"/>
        <w:rPr>
          <w:sz w:val="20"/>
          <w:szCs w:val="20"/>
          <w:color w:val="auto"/>
        </w:rPr>
      </w:pPr>
      <w:r>
        <w:rPr>
          <w:rFonts w:ascii="Times New Roman" w:cs="Times New Roman" w:eastAsia="Times New Roman" w:hAnsi="Times New Roman"/>
          <w:sz w:val="20"/>
          <w:szCs w:val="20"/>
          <w:color w:val="auto"/>
        </w:rPr>
        <w:t>guidance in September 2023 that outlines considerations for relying on confirmatory evidence in lieu of a second clinical</w:t>
      </w:r>
    </w:p>
    <w:p>
      <w:pPr>
        <w:spacing w:after="0"/>
        <w:rPr>
          <w:sz w:val="20"/>
          <w:szCs w:val="20"/>
          <w:color w:val="auto"/>
        </w:rPr>
      </w:pPr>
      <w:r>
        <w:rPr>
          <w:rFonts w:ascii="Times New Roman" w:cs="Times New Roman" w:eastAsia="Times New Roman" w:hAnsi="Times New Roman"/>
          <w:sz w:val="20"/>
          <w:szCs w:val="20"/>
          <w:color w:val="auto"/>
        </w:rPr>
        <w:t>trial to demonstrate efficacy. The FDA has not yet finalized such guidance, but, in December 2025, and again in</w:t>
      </w:r>
    </w:p>
    <w:p>
      <w:pPr>
        <w:spacing w:after="0"/>
        <w:rPr>
          <w:sz w:val="20"/>
          <w:szCs w:val="20"/>
          <w:color w:val="auto"/>
        </w:rPr>
      </w:pPr>
      <w:r>
        <w:rPr>
          <w:rFonts w:ascii="Times New Roman" w:cs="Times New Roman" w:eastAsia="Times New Roman" w:hAnsi="Times New Roman"/>
          <w:sz w:val="20"/>
          <w:szCs w:val="20"/>
          <w:color w:val="auto"/>
        </w:rPr>
        <w:t>January 2026, the FDA signaled that it is considering only requiring one clinical trial for approval of most drug products.</w:t>
      </w:r>
    </w:p>
    <w:p>
      <w:pPr>
        <w:spacing w:after="0"/>
        <w:rPr>
          <w:sz w:val="20"/>
          <w:szCs w:val="20"/>
          <w:color w:val="auto"/>
        </w:rPr>
      </w:pPr>
      <w:r>
        <w:rPr>
          <w:rFonts w:ascii="Times New Roman" w:cs="Times New Roman" w:eastAsia="Times New Roman" w:hAnsi="Times New Roman"/>
          <w:sz w:val="20"/>
          <w:szCs w:val="20"/>
          <w:color w:val="auto"/>
        </w:rPr>
        <w:t>The FDA indicated in December 2025 that it may issue guidance regarding this change through a press release or other</w:t>
      </w:r>
    </w:p>
    <w:p>
      <w:pPr>
        <w:spacing w:after="0"/>
        <w:rPr>
          <w:sz w:val="20"/>
          <w:szCs w:val="20"/>
          <w:color w:val="auto"/>
        </w:rPr>
      </w:pPr>
      <w:r>
        <w:rPr>
          <w:rFonts w:ascii="Times New Roman" w:cs="Times New Roman" w:eastAsia="Times New Roman" w:hAnsi="Times New Roman"/>
          <w:sz w:val="20"/>
          <w:szCs w:val="20"/>
          <w:color w:val="auto"/>
        </w:rPr>
        <w:t>means.</w:t>
      </w:r>
    </w:p>
    <w:p>
      <w:pPr>
        <w:spacing w:after="0" w:line="24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drug is effective and that its expected benefits outweigh its potential risks to patients. This “benefit-risk” assessment is informed by the extensive body of evidence about the product’s safety and efficacy in the NDA or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 In connection with this assessment, the FDA review team will assemble all individual reviews and other documents into an “action package,” which becomes the record for FDA review. The review team then issues a recommendation, and a senior FDA official makes a decision.</w:t>
      </w:r>
    </w:p>
    <w:p>
      <w:pPr>
        <w:spacing w:after="0" w:line="19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 The FDA has committed to reviewing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 The FDA has taken the position that a CRL is not final agency action making the determination subject to judicial review. For those seeking to challenge FDA’s CRL decision, the FDA has indicated that sponsors may request a formal hearing on the CRL or file a request for reconsideration or a request for a formal dispute resolution.</w:t>
      </w:r>
    </w:p>
    <w:p>
      <w:pPr>
        <w:spacing w:after="0" w:line="201" w:lineRule="exact"/>
        <w:rPr>
          <w:sz w:val="20"/>
          <w:szCs w:val="20"/>
          <w:color w:val="auto"/>
        </w:rPr>
      </w:pPr>
    </w:p>
    <w:p>
      <w:pPr>
        <w:ind w:right="300" w:firstLine="491"/>
        <w:spacing w:after="0" w:line="280" w:lineRule="auto"/>
        <w:rPr>
          <w:sz w:val="20"/>
          <w:szCs w:val="20"/>
          <w:color w:val="auto"/>
        </w:rPr>
      </w:pPr>
      <w:r>
        <w:rPr>
          <w:rFonts w:ascii="Times New Roman" w:cs="Times New Roman" w:eastAsia="Times New Roman" w:hAnsi="Times New Roman"/>
          <w:sz w:val="20"/>
          <w:szCs w:val="20"/>
          <w:color w:val="auto"/>
        </w:rPr>
        <w:t>An approval letter, on the other hand, authorizes commercial marketing of the product with specific prescribing information for specific indications. That is, the approval will be limited to the conditions of use (e.g., patient</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720"/>
          </w:cols>
          <w:pgMar w:left="1080" w:top="1064" w:right="1080" w:bottom="0" w:gutter="0" w:footer="0" w:header="0"/>
          <w:type w:val="continuous"/>
        </w:sectPr>
      </w:pPr>
    </w:p>
    <w:bookmarkStart w:id="40" w:name="page41"/>
    <w:bookmarkEnd w:id="40"/>
    <w:p>
      <w:pPr>
        <w:spacing w:after="0" w:line="245" w:lineRule="auto"/>
        <w:rPr>
          <w:sz w:val="20"/>
          <w:szCs w:val="20"/>
          <w:color w:val="auto"/>
        </w:rPr>
      </w:pPr>
      <w:r>
        <w:rPr>
          <w:rFonts w:ascii="Times New Roman" w:cs="Times New Roman" w:eastAsia="Times New Roman" w:hAnsi="Times New Roman"/>
          <w:sz w:val="20"/>
          <w:szCs w:val="20"/>
          <w:color w:val="auto"/>
        </w:rPr>
        <w:t>population, indication) described in the FDA-approved labeling.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7" w:lineRule="exact"/>
        <w:rPr>
          <w:sz w:val="20"/>
          <w:szCs w:val="20"/>
          <w:color w:val="auto"/>
        </w:rPr>
      </w:pPr>
    </w:p>
    <w:p>
      <w:pPr>
        <w:ind w:right="320" w:firstLine="490"/>
        <w:spacing w:after="0" w:line="250" w:lineRule="auto"/>
        <w:rPr>
          <w:sz w:val="20"/>
          <w:szCs w:val="20"/>
          <w:color w:val="auto"/>
        </w:rPr>
      </w:pPr>
      <w:r>
        <w:rPr>
          <w:rFonts w:ascii="Times New Roman" w:cs="Times New Roman" w:eastAsia="Times New Roman" w:hAnsi="Times New Roman"/>
          <w:sz w:val="20"/>
          <w:szCs w:val="20"/>
          <w:color w:val="auto"/>
        </w:rPr>
        <w:t>Under the Ensuring Innovation Act, which was signed into law in April 2021, the FDA must publish action packages summarizing its decisions to approve new drugs and biologics within 30 days of approval of such products. While CRLs were previously treated by the FDA as confidential and were only disclosed in action packages for approved products, the agency announced in September 2025 that it will now release CRLs promptly after they are issued to sponsors. Since that announcement, the FDA has posted a number of CRLs on its website.</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Accelerated Approval Pathway</w:t>
      </w:r>
    </w:p>
    <w:p>
      <w:pPr>
        <w:spacing w:after="0" w:line="236"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202"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97" w:lineRule="exact"/>
        <w:rPr>
          <w:sz w:val="20"/>
          <w:szCs w:val="20"/>
          <w:color w:val="auto"/>
        </w:rPr>
      </w:pPr>
    </w:p>
    <w:p>
      <w:pPr>
        <w:ind w:firstLine="489"/>
        <w:spacing w:after="0" w:line="245" w:lineRule="auto"/>
        <w:rPr>
          <w:sz w:val="20"/>
          <w:szCs w:val="20"/>
          <w:color w:val="auto"/>
        </w:rPr>
      </w:pPr>
      <w:r>
        <w:rPr>
          <w:rFonts w:ascii="Times New Roman" w:cs="Times New Roman" w:eastAsia="Times New Roman" w:hAnsi="Times New Roman"/>
          <w:sz w:val="20"/>
          <w:szCs w:val="20"/>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 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product candidates approved under accelerated regulations are subject to prior review by the FDA.</w:t>
      </w:r>
    </w:p>
    <w:p>
      <w:pPr>
        <w:spacing w:after="0" w:line="197"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With passage of FDORA,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an NDA or BLA after the confirmatory trial fails to verify the product’s clinical benefit. Further, FDORA requires the FDA to publish on its website “the rationale for why a post-approval study is not appropriate or necessary” whenever it decides not to require such a study upon granting accelerated approval.</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700"/>
          </w:cols>
          <w:pgMar w:left="1080" w:top="1064" w:right="1100" w:bottom="0" w:gutter="0" w:footer="0" w:header="0"/>
          <w:type w:val="continuous"/>
        </w:sectPr>
      </w:pPr>
    </w:p>
    <w:bookmarkStart w:id="41" w:name="page42"/>
    <w:bookmarkEnd w:id="41"/>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In March 2023, the FDA issued draft guidance that outlines its current thinking and approach to accelerated approval. The guidance provides that although single-arm trials have been commonly used to support accelerated approval, a randomized controlled trial is the preferred approach as it provides a more robust efficacy and safety assessment and allows for direct comparisons to an available therapy. Subsequently, in December 2024 and January 2025, the FDA issued additional draft guidances relating to accelerated approval. These guidances describe FDA’s latest thinking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Post-Approval Regulation</w:t>
      </w:r>
    </w:p>
    <w:p>
      <w:pPr>
        <w:spacing w:after="0" w:line="23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1" w:lineRule="exact"/>
        <w:rPr>
          <w:sz w:val="20"/>
          <w:szCs w:val="20"/>
          <w:color w:val="auto"/>
        </w:rPr>
      </w:pPr>
    </w:p>
    <w:p>
      <w:pPr>
        <w:ind w:firstLine="489"/>
        <w:spacing w:after="0" w:line="245" w:lineRule="auto"/>
        <w:rPr>
          <w:sz w:val="20"/>
          <w:szCs w:val="20"/>
          <w:color w:val="auto"/>
        </w:rPr>
      </w:pPr>
      <w:r>
        <w:rPr>
          <w:rFonts w:ascii="Times New Roman" w:cs="Times New Roman" w:eastAsia="Times New Roman" w:hAnsi="Times New Roman"/>
          <w:sz w:val="20"/>
          <w:szCs w:val="20"/>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 party manufacturers that the sponsor may decide to use. Accordingly, manufacturers must continue to expend time, money, and effort in the area of production and quality control to maintain cGMP compliance.</w:t>
      </w:r>
    </w:p>
    <w:p>
      <w:pPr>
        <w:spacing w:after="0" w:line="202"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9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5" w:lineRule="exact"/>
        <w:rPr>
          <w:sz w:val="20"/>
          <w:szCs w:val="20"/>
          <w:color w:val="auto"/>
        </w:rPr>
      </w:pPr>
    </w:p>
    <w:p>
      <w:pPr>
        <w:ind w:left="860" w:right="880" w:hanging="364"/>
        <w:spacing w:after="0" w:line="279" w:lineRule="auto"/>
        <w:tabs>
          <w:tab w:leader="none" w:pos="8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suspension of the approval, complete withdrawal of the product from the market or product recalls;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253" w:lineRule="exact"/>
        <w:rPr>
          <w:rFonts w:ascii="Arial" w:cs="Arial" w:eastAsia="Arial" w:hAnsi="Arial"/>
          <w:sz w:val="20"/>
          <w:szCs w:val="20"/>
          <w:color w:val="auto"/>
        </w:rPr>
      </w:pPr>
    </w:p>
    <w:p>
      <w:pPr>
        <w:ind w:left="860" w:right="60" w:hanging="363"/>
        <w:spacing w:after="0" w:line="279" w:lineRule="auto"/>
        <w:tabs>
          <w:tab w:leader="none" w:pos="8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NDAs or supplements to approved NDAs, or suspension or revocation of product license approvals;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700"/>
          </w:cols>
          <w:pgMar w:left="1080" w:top="1064" w:right="1100" w:bottom="0" w:gutter="0" w:footer="0" w:header="0"/>
          <w:type w:val="continuous"/>
        </w:sectPr>
      </w:pPr>
    </w:p>
    <w:bookmarkStart w:id="42" w:name="page43"/>
    <w:bookmarkEnd w:id="42"/>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 FDA strictly regulates marketing, labeling, advertising and promotion of products that are placed on the market. Products may be promoted only for the approved indications and in accordance with the provisions of the approved label. If a company is found to have promoted off-label uses, it may become subject to adverse public relations and administrative and judicial enforcement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 In September 2021, the FDA published final regulations which describe the types of evidence that the agency will consider in determining the intended use of a drug or biologic.</w:t>
      </w:r>
    </w:p>
    <w:p>
      <w:pPr>
        <w:spacing w:after="0" w:line="203" w:lineRule="exact"/>
        <w:rPr>
          <w:sz w:val="20"/>
          <w:szCs w:val="20"/>
          <w:color w:val="auto"/>
        </w:rPr>
      </w:pPr>
    </w:p>
    <w:p>
      <w:pPr>
        <w:ind w:right="80" w:firstLine="489"/>
        <w:spacing w:after="0" w:line="244" w:lineRule="auto"/>
        <w:rPr>
          <w:sz w:val="20"/>
          <w:szCs w:val="20"/>
          <w:color w:val="auto"/>
        </w:rPr>
      </w:pPr>
      <w:r>
        <w:rPr>
          <w:rFonts w:ascii="Times New Roman" w:cs="Times New Roman" w:eastAsia="Times New Roman" w:hAnsi="Times New Roman"/>
          <w:sz w:val="20"/>
          <w:szCs w:val="20"/>
          <w:color w:val="auto"/>
        </w:rPr>
        <w:t>On September 9, 2025, President Trump issued a Memorandum directing HHS to “ensure transparency and accuracy in direct-to-consumer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spacing w:after="0" w:line="20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and product candidates in development to help expedite patient access upon product approval. Previously, such communications were permitted under FDA guidance but the new legislation explicitly provides protection to sponsors who convey certain information about products and product candidates in development to payors, including unapproved uses of approved products. In addition, in January 2025, the FDA published final guidance outlining the agency’s non-binding policies governing the distribution of scientific information on unapproved uses of approved products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addition, the distribution of prescription pharmaceutical products is subject to a variety of federal and state laws, the most recent of which is still in the process of being phased into the U.S. supply chain and regulatory framework. The Prescription Drug Marketing Act,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In November 2013, the Federal Drug Supply Chain Security Act, or DSCSA, became effective in the U.S., mandating an industry-wide, electronic, interoperable system to trace prescription drugs through the pharmaceutical distribution supply chain with a ten-year phase -in process. Manufacturers were required by November 2023 to have such systems and processes, but the FDA has granted certain exemptions from enhanced drug distribution security requirements for eligible trading partners for particular periods of time. For wholesale drug distributors, the final DSCSA deadline was August 27, 2025, marking the date for mandatory transition to a fully electronic, interoperable system for tracking prescription drugs at the package level throughout the United States.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Generic Drugs and Regulatory Exclusivity</w:t>
      </w:r>
    </w:p>
    <w:p>
      <w:pPr>
        <w:spacing w:after="0" w:line="236"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 and it also enacted Section 505(b)(2). To obtain approval of a generic drug, a sponsor must submit an abbreviated new drug application, or ANDA, to the agency. In support of such applications, a generic manufacturer may rely on the preclinical and clinical testing conducted for a drug product previously approved under an NDA, known as the reference listed drug, or RLD.</w:t>
      </w:r>
    </w:p>
    <w:p>
      <w:pPr>
        <w:spacing w:after="0" w:line="192" w:lineRule="exact"/>
        <w:rPr>
          <w:sz w:val="20"/>
          <w:szCs w:val="20"/>
          <w:color w:val="auto"/>
        </w:rPr>
      </w:pPr>
    </w:p>
    <w:p>
      <w:pPr>
        <w:ind w:right="100" w:firstLine="489"/>
        <w:spacing w:after="0" w:line="280" w:lineRule="auto"/>
        <w:rPr>
          <w:sz w:val="20"/>
          <w:szCs w:val="20"/>
          <w:color w:val="auto"/>
        </w:rPr>
      </w:pPr>
      <w:r>
        <w:rPr>
          <w:rFonts w:ascii="Times New Roman" w:cs="Times New Roman" w:eastAsia="Times New Roman" w:hAnsi="Times New Roman"/>
          <w:sz w:val="20"/>
          <w:szCs w:val="20"/>
          <w:color w:val="auto"/>
        </w:rPr>
        <w:t>Specifically, in order for an ANDA to be approved, the FDA must find that the generic version is identical to the RLD with respect to the active ingredients, the route of administration, the dosage form, the strength of the drug and the</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720"/>
          </w:cols>
          <w:pgMar w:left="1080" w:top="1064" w:right="1080" w:bottom="0" w:gutter="0" w:footer="0" w:header="0"/>
          <w:type w:val="continuous"/>
        </w:sectPr>
      </w:pPr>
    </w:p>
    <w:bookmarkStart w:id="43" w:name="page44"/>
    <w:bookmarkEnd w:id="43"/>
    <w:p>
      <w:pPr>
        <w:ind w:right="20"/>
        <w:spacing w:after="0" w:line="244" w:lineRule="auto"/>
        <w:rPr>
          <w:sz w:val="20"/>
          <w:szCs w:val="20"/>
          <w:color w:val="auto"/>
        </w:rPr>
      </w:pPr>
      <w:r>
        <w:rPr>
          <w:rFonts w:ascii="Times New Roman" w:cs="Times New Roman" w:eastAsia="Times New Roman" w:hAnsi="Times New Roman"/>
          <w:sz w:val="20"/>
          <w:szCs w:val="20"/>
          <w:color w:val="auto"/>
        </w:rPr>
        <w:t>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From time to time, the FDA may issue product-specific guidance regarding RLDs to help clarify its expectations for the content of an ANDA, including requirements for establishing bioequivalence. Although we are not aware of any prior ANDA approvals for intravitreally administered drugs, the FDA issued what we believe was its first draft product-specific guidance for such a drug in November 2025. The FDA has also indicated that it plans to issue a draft product-specific guidance for DEXTENZA in February 2026.</w:t>
      </w:r>
    </w:p>
    <w:p>
      <w:pPr>
        <w:spacing w:after="0" w:line="199"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auto"/>
        </w:rPr>
        <w:t>Under the Hatch-Waxman Act, the FDA may not approve an ANDA or 505(b)(2) application until any applicable period of non-patent exclusivity for the RLD has expired. The FDCA provides a period of five years of regulatory exclusivity for a new drug containing a new chemical entity, or NCE. For the purposes of this provision, FDA has consistently taken the position that an NCE is a drug that contains no active moiety that has previously been approved by the FDA in any other NDA. This interpretation was confirmed with enactment of the Ensuring Innovation Act in</w:t>
      </w:r>
    </w:p>
    <w:p>
      <w:pPr>
        <w:ind w:right="100"/>
        <w:spacing w:after="0" w:line="253" w:lineRule="auto"/>
        <w:rPr>
          <w:sz w:val="20"/>
          <w:szCs w:val="20"/>
          <w:color w:val="auto"/>
        </w:rPr>
      </w:pPr>
      <w:r>
        <w:rPr>
          <w:rFonts w:ascii="Times New Roman" w:cs="Times New Roman" w:eastAsia="Times New Roman" w:hAnsi="Times New Roman"/>
          <w:sz w:val="20"/>
          <w:szCs w:val="20"/>
          <w:color w:val="auto"/>
        </w:rPr>
        <w:t>April 2021. An active moiety is the molecule or ion responsible for the physiological or pharmacological action of the drug substance. In cases where such NCE exclusivity has been granted, a generic or follow-on drug application may not be filed with the FDA until the expiration of five years unless the submission is accompanied by a Paragraph IV certification, in which case the sponsor may submit its application four years following the original product approval.</w:t>
      </w:r>
    </w:p>
    <w:p>
      <w:pPr>
        <w:spacing w:after="0" w:line="190" w:lineRule="exact"/>
        <w:rPr>
          <w:sz w:val="20"/>
          <w:szCs w:val="20"/>
          <w:color w:val="auto"/>
        </w:rPr>
      </w:pPr>
    </w:p>
    <w:p>
      <w:pPr>
        <w:ind w:firstLine="489"/>
        <w:spacing w:after="0" w:line="244" w:lineRule="auto"/>
        <w:rPr>
          <w:sz w:val="20"/>
          <w:szCs w:val="20"/>
          <w:color w:val="auto"/>
        </w:rPr>
      </w:pPr>
      <w:r>
        <w:rPr>
          <w:rFonts w:ascii="Times New Roman" w:cs="Times New Roman" w:eastAsia="Times New Roman" w:hAnsi="Times New Roman"/>
          <w:sz w:val="20"/>
          <w:szCs w:val="20"/>
          <w:color w:val="auto"/>
        </w:rPr>
        <w:t>The FDCA also provides for a period of three years of regulatory exclusivity if the NDA includes reports of one or more new clinical investigations, other than bioavailability or bioequivalence studies, that were conducted by or for the sponsor and are essential to the approval of the application.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203" w:lineRule="exact"/>
        <w:rPr>
          <w:sz w:val="20"/>
          <w:szCs w:val="20"/>
          <w:color w:val="auto"/>
        </w:rPr>
      </w:pPr>
    </w:p>
    <w:p>
      <w:pPr>
        <w:ind w:right="20" w:firstLine="489"/>
        <w:spacing w:after="0" w:line="253" w:lineRule="auto"/>
        <w:rPr>
          <w:sz w:val="20"/>
          <w:szCs w:val="20"/>
          <w:color w:val="auto"/>
        </w:rPr>
      </w:pPr>
      <w:r>
        <w:rPr>
          <w:rFonts w:ascii="Times New Roman" w:cs="Times New Roman" w:eastAsia="Times New Roman" w:hAnsi="Times New Roman"/>
          <w:sz w:val="20"/>
          <w:szCs w:val="20"/>
          <w:color w:val="auto"/>
        </w:rPr>
        <w:t>Five-year and three-year exclusivity also will not delay the submission or approval of a traditional NDA filed under Section 505(b)(1) of the FDCA; however, a sponsor submitting a traditional NDA would be required to conduct or obtain a right of reference to all of the preclinical studies and adequate and well-controlled clinical trials necessary to demonstrate safety and effectiveness.</w:t>
      </w:r>
    </w:p>
    <w:p>
      <w:pPr>
        <w:spacing w:after="0" w:line="191" w:lineRule="exact"/>
        <w:rPr>
          <w:sz w:val="20"/>
          <w:szCs w:val="20"/>
          <w:color w:val="auto"/>
        </w:rPr>
      </w:pPr>
    </w:p>
    <w:p>
      <w:pPr>
        <w:ind w:right="80" w:firstLine="489"/>
        <w:spacing w:after="0" w:line="239" w:lineRule="auto"/>
        <w:rPr>
          <w:sz w:val="20"/>
          <w:szCs w:val="20"/>
          <w:color w:val="auto"/>
        </w:rPr>
      </w:pPr>
      <w:r>
        <w:rPr>
          <w:rFonts w:ascii="Times New Roman" w:cs="Times New Roman" w:eastAsia="Times New Roman" w:hAnsi="Times New Roman"/>
          <w:sz w:val="20"/>
          <w:szCs w:val="20"/>
          <w:color w:val="auto"/>
        </w:rPr>
        <w:t>As part of the submission of an NDA or certain supplemental applications, NDA sponsors are required to list with the FDA each patent with claims that cover the sponsor’s product or an approved method of using the product. Upon approval of a new drug, each of the patents listed in the application for the drug is then published in the Orange Book. The FDA’s regulations governing patient listings were largely codified into law with enactment of the Orange Book Modernization Act in January 2021. When an ANDA sponsor files its application with the FDA, the sponsor is required to certify to the FDA concerning any patents listed for the reference product in the Orange Book. Specifically, the ANDA sponsor must certify that: (i) the required patent information has not been filed; (ii) the listed patent has expired;</w:t>
      </w:r>
    </w:p>
    <w:p>
      <w:pPr>
        <w:spacing w:after="0" w:line="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listed patent has not expired, but will expire on a particular date and approval is sought after patent expiration; or</w:t>
      </w:r>
    </w:p>
    <w:p>
      <w:pPr>
        <w:ind w:right="140" w:firstLine="8"/>
        <w:spacing w:after="0" w:line="253" w:lineRule="auto"/>
        <w:tabs>
          <w:tab w:leader="none" w:pos="33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listed patent is invalid or will not be infringed by the new product. Moreover, to the extent that the Section 505(b)(2) NDA sponsor is relying on studies conducted for an already approved product, the sponsor also is required to certify to the FDA concerning any patents listed for the NDA-approved product in the Orange Book to the same extent that an ANDA sponsor would.</w:t>
      </w:r>
    </w:p>
    <w:p>
      <w:pPr>
        <w:spacing w:after="0" w:line="190" w:lineRule="exact"/>
        <w:rPr>
          <w:sz w:val="20"/>
          <w:szCs w:val="20"/>
          <w:color w:val="auto"/>
        </w:rPr>
      </w:pPr>
    </w:p>
    <w:p>
      <w:pPr>
        <w:ind w:right="120" w:firstLine="490"/>
        <w:spacing w:after="0" w:line="263" w:lineRule="auto"/>
        <w:rPr>
          <w:sz w:val="20"/>
          <w:szCs w:val="20"/>
          <w:color w:val="auto"/>
        </w:rPr>
      </w:pPr>
      <w:r>
        <w:rPr>
          <w:rFonts w:ascii="Times New Roman" w:cs="Times New Roman" w:eastAsia="Times New Roman" w:hAnsi="Times New Roman"/>
          <w:sz w:val="19"/>
          <w:szCs w:val="19"/>
          <w:color w:val="auto"/>
        </w:rPr>
        <w:t>If the generic drug or follow-on drug sponsor does not challenge the innovator’s listed patents, FDA will not approve the ANDA or 505(b)(2) application until all the listed patents claiming the referenced product have expired. A certification that the new generic product will not infringe the already approved product’s listed patents or that such patents are invalid or unenforceable is called a Paragraph IV certification. If the ANDA sponsor has provided a Paragraph IV certification to the FDA, the sponsor must also send notice of the Paragraph IV certification to the NDA owner and patent holders once the ANDA has been accepted for filing by the FDA. The NDA owner and patent holders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700"/>
          </w:cols>
          <w:pgMar w:left="1080" w:top="1064" w:right="1100" w:bottom="0" w:gutter="0" w:footer="0" w:header="0"/>
          <w:type w:val="continuous"/>
        </w:sectPr>
      </w:pPr>
    </w:p>
    <w:bookmarkStart w:id="44" w:name="page45"/>
    <w:bookmarkEnd w:id="44"/>
    <w:p>
      <w:pPr>
        <w:ind w:right="60"/>
        <w:spacing w:after="0" w:line="250" w:lineRule="auto"/>
        <w:rPr>
          <w:sz w:val="20"/>
          <w:szCs w:val="20"/>
          <w:color w:val="auto"/>
        </w:rPr>
      </w:pPr>
      <w:r>
        <w:rPr>
          <w:rFonts w:ascii="Times New Roman" w:cs="Times New Roman" w:eastAsia="Times New Roman" w:hAnsi="Times New Roman"/>
          <w:sz w:val="20"/>
          <w:szCs w:val="20"/>
          <w:color w:val="auto"/>
        </w:rPr>
        <w:t>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NDA until the earliest of 30 months after the receipt of the Paragraph IV notice, expiration of the patent and a decision in the infringement case that is favorable to the ANDA or 505(b)(2) NDA sponsor.</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Regulatory Exclusivity Governing Biologics</w:t>
      </w:r>
    </w:p>
    <w:p>
      <w:pPr>
        <w:spacing w:after="0" w:line="236"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When a biological product is licensed for marketing by FDA with approval of a BLA, the product may be entitled to certain types of market and data exclusivity barring FDA from approving competing products for certain periods of time. In March 2010, the Patient Protection and Affordable Care Act was enacted in the United States and included the Biologics Price Competition and Innovation Act of 2009, or the BPCIA. The BPCIA amended the PHSA to create an abbreviated approval pathway for biological products that are biosimilar to or interchangeable with an FDA-licensed reference biological product. Since enactment of this statute, the FDA has approved a number of biosimilars and interchangeable biosimilar products.</w:t>
      </w:r>
    </w:p>
    <w:p>
      <w:pPr>
        <w:spacing w:after="0" w:line="201"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Under the BPCIA, a manufacturer may submit an application for a product that is “biosimilar to” a previously approved biological product, which the statute refers to as a “reference product.” In order for the FDA to approve a biosimilar product, it must find that there are no clinically meaningful differences between the reference product and the proposed biosimilar product in terms of safety, purity and potency. The biosimilar sponsor may demonstrate that its product is biosimilar to the reference product on the basis of data from analytical studies, animal studies and one or more clinical studies to demonstrate safety, purity and potency in one or more appropriate conditions of use for which the reference product is approved. In addition, the sponsor must show that the biosimilar and reference products have the same mechanism of action for the conditions of use on the label, route of administration, dosage and strength, and the production facility must meet standards designed to assure product safety, purity and potency.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For the FDA to approve a biosimilar product as interchangeable with a reference product, the agency must find not only that the product is biosimilar to the reference product but also that it can be expected to produce the same clinical results as the reference product such that the two products may be switched without increasing safety risks or risks of diminished efficacy relative to exclusive use of the reference biologic. Upon licensure by the FDA, an interchangeable biosimilar may be substituted for the reference product without the intervention of the health care provider who prescribed the reference product. Following approval of the interchangeable biosimilar product, the FDA may not grant interchangeability status for any second biosimilar until one year after the first commercial marketing of the first interchangeable biosimilar product. In December 2022, Congress clarified through FDORA that FDA may approve multiple first interchangeable biosimilar biological products so long as the products are all approved on the first day on which such a product is approved as interchangeable with the reference product.</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A reference biological product is granted 12 years of exclusivity from the time of first licensure of the product, and the FDA will not accept an application for a biosimilar or interchangeable product based on the reference biological product until four years after the date of first licensure of the reference product. Even if a product is considered to be a reference product eligible for exclusivity, however, another company could market a competing version of that product if the FDA approves a full BLA for such product containing the sponsor’s own preclinical data and data from adequate and well controlled clinical trials to demonstrate the safety, purity, and potency of their product.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Pediatric Exclusivity</w:t>
      </w:r>
    </w:p>
    <w:p>
      <w:pPr>
        <w:spacing w:after="0" w:line="237" w:lineRule="exact"/>
        <w:rPr>
          <w:sz w:val="20"/>
          <w:szCs w:val="20"/>
          <w:color w:val="auto"/>
        </w:rPr>
      </w:pPr>
    </w:p>
    <w:p>
      <w:pPr>
        <w:ind w:right="40" w:firstLine="490"/>
        <w:spacing w:after="0" w:line="266" w:lineRule="auto"/>
        <w:rPr>
          <w:sz w:val="20"/>
          <w:szCs w:val="20"/>
          <w:color w:val="auto"/>
        </w:rPr>
      </w:pPr>
      <w:r>
        <w:rPr>
          <w:rFonts w:ascii="Times New Roman" w:cs="Times New Roman" w:eastAsia="Times New Roman" w:hAnsi="Times New Roman"/>
          <w:sz w:val="19"/>
          <w:szCs w:val="19"/>
          <w:color w:val="auto"/>
        </w:rPr>
        <w:t>Pediatric exclusivity is a type of non -patent marketing exclusivity in the United States and, if granted, provides for the attachment of an additional six months of exclusivity. For drug products, the six-month exclusivity may be attached to the term of any existing patent or regulatory exclusivity, including the orphan exclusivity and regulatory exclusivities available under the Hatch-Waxman Act. For biologic products, the six-month period may be attached to any existing regulatory exclusivities but not to any patent terms. The conditions for pediatric exclusivity include the FDA’s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700"/>
          </w:cols>
          <w:pgMar w:left="1080" w:top="1064" w:right="1100" w:bottom="0" w:gutter="0" w:footer="0" w:header="0"/>
          <w:type w:val="continuous"/>
        </w:sectPr>
      </w:pPr>
    </w:p>
    <w:bookmarkStart w:id="45" w:name="page46"/>
    <w:bookmarkEnd w:id="45"/>
    <w:p>
      <w:pPr>
        <w:spacing w:after="0" w:line="243" w:lineRule="auto"/>
        <w:rPr>
          <w:sz w:val="20"/>
          <w:szCs w:val="20"/>
          <w:color w:val="auto"/>
        </w:rPr>
      </w:pPr>
      <w:r>
        <w:rPr>
          <w:rFonts w:ascii="Times New Roman" w:cs="Times New Roman" w:eastAsia="Times New Roman" w:hAnsi="Times New Roman"/>
          <w:sz w:val="20"/>
          <w:szCs w:val="20"/>
          <w:color w:val="auto"/>
        </w:rPr>
        <w:t>determination that information relating to the use of a new product in the pediatric population may produce health benefits in that population, the FDA making a written request for pediatric clinical trials, and the sponsor agreeing to perform, and reporting on, the requested clinical trials within the statutory timeframe.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patents that cover the product are extended by six months. Although this is not a patent term extension, it effectively extends the regulatory period during which the FDA cannot approve another application. With regard to patents, the six-month pediatric exclusivity period will not attach to any patents for which an ANDA or 505(b)(2) sponsor submitted a paragraph IV patent certification, unless the NDA sponsor or patent owner first obtains a court determination that the patent is valid and infringed by the proposed product.</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Patent Term Restoration and Extension</w:t>
      </w:r>
    </w:p>
    <w:p>
      <w:pPr>
        <w:spacing w:after="0" w:line="236"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the United States, a patent claiming a new product, its method of use or its method of manufacture may be eligible for a limited patent term extension under the Hatch Waxman Act, which permits a patent extension of up to five years for patent term lost during product development and FDA regulatory review. Assuming grant of the patent for which the extension is sought, the restoration period for a patent covering a product is typically one half the time between the effective date of the IND involving human beings and the submission date of the NDA or BLA, plus the time between the submission date of the application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Medical Devices in the United States</w:t>
      </w:r>
    </w:p>
    <w:p>
      <w:pPr>
        <w:spacing w:after="0" w:line="23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 xml:space="preserve">Medical devices in the United States are strictly regulated by the FDA. Under the FDCA, a medical device is defined as an instrument, apparatus, implement, machine, contrivance, implant,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202"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auto"/>
        </w:rPr>
        <w:t>Unless an exemption applies, a new medical device may not be marketed in the United States unless and until it has been cleared through filing of a 510(k) premarket notification, or 510(k), or approved by the FDA pursuant to a PMA application.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w:t>
      </w:r>
    </w:p>
    <w:p>
      <w:pPr>
        <w:spacing w:after="0" w:line="194"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Class I devices are low-risk devices for which reasonable assurance of safety and effectiveness can be provided by adherence to the FDA’s general controls for medical devices, which include applicable portions of the FDA’s Quality System Regulation, or QSR, facility registration and product listing, reporting of adverse medical events and malfunctions and appropriate, truthful and non-misleading labeling, advertising and promotional materials. Many Class I devices are exempt from premarket regulation; however, some Class I devices require premarket clearance by the FDA through the 510(k) premarket notification process.</w:t>
      </w:r>
    </w:p>
    <w:p>
      <w:pPr>
        <w:spacing w:after="0" w:line="19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Class II devices are moderate-risk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680"/>
          </w:cols>
          <w:pgMar w:left="1080" w:top="1064" w:right="1120" w:bottom="0" w:gutter="0" w:footer="0" w:header="0"/>
          <w:type w:val="continuous"/>
        </w:sectPr>
      </w:pPr>
    </w:p>
    <w:bookmarkStart w:id="46" w:name="page47"/>
    <w:bookmarkEnd w:id="46"/>
    <w:p>
      <w:pPr>
        <w:jc w:val="both"/>
        <w:ind w:right="160"/>
        <w:spacing w:after="0" w:line="260" w:lineRule="auto"/>
        <w:rPr>
          <w:sz w:val="20"/>
          <w:szCs w:val="20"/>
          <w:color w:val="auto"/>
        </w:rPr>
      </w:pPr>
      <w:r>
        <w:rPr>
          <w:rFonts w:ascii="Times New Roman" w:cs="Times New Roman" w:eastAsia="Times New Roman" w:hAnsi="Times New Roman"/>
          <w:sz w:val="20"/>
          <w:szCs w:val="20"/>
          <w:color w:val="auto"/>
        </w:rPr>
        <w:t>Class II devices are accomplished through the 510(k) premarket notification procedure, although some Class II devices are exempt from the 510(k) requirements. Premarket notifications are subject to user fees, unless a specific exemption applies.</w:t>
      </w:r>
    </w:p>
    <w:p>
      <w:pPr>
        <w:spacing w:after="0" w:line="183"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Class III devices are deemed by the FDA to pose the greatest risk, such as those for which reasonable assurance of the device’s safety and effectiveness cannot be assured solely by the general controls and special controls described above and that are life-sustaining or life-supporting. A PMA application must provide valid scientific evidence, typically extensive preclinical and clinical trial data and information about the device and its components regarding, among other things, device design, manufacturing and labeling. PMA applications (and supplemental PMA applications) are subject to significantly higher user fees than are 510(k) premarket notifications.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510(k) Premarket Notification</w:t>
      </w:r>
    </w:p>
    <w:p>
      <w:pPr>
        <w:spacing w:after="0" w:line="236"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To obtain 510(k) clearance, a manufacturer must submit a premarket notification demonstrating that the proposed device is “substantially equivalent” to a predicate device, which is a previously cleared 510(k) device or a pre-amendment device that was in commercial distribution before May 28, 1976, for which the FDA has not yet called for the submission of a PMA application. The FDA’s 510(k) clearance pathway usually takes from three to 12 months from the date the application is submitted and filed with the FDA, but it can take significantly longer and clearance is never assured. The FDA has issued guidance documents meant to expedite review of a 510(k) and facilitate interactions between the sponsor and the FDA. To demonstrate substantial equivalence, a manufacturer must show that the device has the same intended use as a predicate device and the same technological characteristics, or the same intended use and different technological characteristics and does not raise new questions of safety and effectiveness than the predicate device.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Most 510(k)s do not require clinical data for clearance, but the FDA may request such data.</w:t>
      </w:r>
    </w:p>
    <w:p>
      <w:pPr>
        <w:spacing w:after="0" w:line="239"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 xml:space="preserve">The FDA seeks to review and act on a 510(k) within 90 days of submission, but it may take longer if the agency finds that it requires more information to review the 510(k). If the FDA determines that the device is substantially equivalent to a predicate device, the subject device may be marketed. However, if the FDA concludes that a new device is not substantially equivalent to a predicate device, the new device will be classified in Class III and the manufacturer will be required to submit a PMA application to market the product. Devices of a new type that the FDA has not previously classified based on risk are automatically classified into Class III by operation of section 513(f)(1) of the FDCA, regardless of the level of risk they pose. To avoid requiring PMA review of low- to moderate-risk devices classified in Class III by operation of law, Congress enacted section 513(f)(2) of the FDCA. This provision allows the FDA to classify a low- to moderate-risk device not previously classified into Class I or II, a process known as the </w:t>
      </w:r>
      <w:r>
        <w:rPr>
          <w:rFonts w:ascii="Times New Roman" w:cs="Times New Roman" w:eastAsia="Times New Roman" w:hAnsi="Times New Roman"/>
          <w:sz w:val="20"/>
          <w:szCs w:val="20"/>
          <w:i w:val="1"/>
          <w:iCs w:val="1"/>
          <w:color w:val="auto"/>
        </w:rPr>
        <w:t>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novo </w:t>
      </w:r>
      <w:r>
        <w:rPr>
          <w:rFonts w:ascii="Times New Roman" w:cs="Times New Roman" w:eastAsia="Times New Roman" w:hAnsi="Times New Roman"/>
          <w:sz w:val="20"/>
          <w:szCs w:val="20"/>
          <w:color w:val="auto"/>
        </w:rPr>
        <w:t>process. A company may apply directly to the FDA for classification of its device as</w:t>
      </w:r>
      <w:r>
        <w:rPr>
          <w:rFonts w:ascii="Times New Roman" w:cs="Times New Roman" w:eastAsia="Times New Roman" w:hAnsi="Times New Roman"/>
          <w:sz w:val="20"/>
          <w:szCs w:val="20"/>
          <w:i w:val="1"/>
          <w:iCs w:val="1"/>
          <w:color w:val="auto"/>
        </w:rPr>
        <w:t xml:space="preserve"> de novo </w:t>
      </w:r>
      <w:r>
        <w:rPr>
          <w:rFonts w:ascii="Times New Roman" w:cs="Times New Roman" w:eastAsia="Times New Roman" w:hAnsi="Times New Roman"/>
          <w:sz w:val="20"/>
          <w:szCs w:val="20"/>
          <w:color w:val="auto"/>
        </w:rPr>
        <w:t>or may submit a 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novo petition within 30 days of receiving a not substantially equivalent determination.</w:t>
      </w:r>
    </w:p>
    <w:p>
      <w:pPr>
        <w:spacing w:after="0" w:line="19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Modifications to a 510(k)-cleared medical device may require the submission of another 510(k).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20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Any modification to a 510(k)-cleared product that would constitute a major change in its intended use or any change that could significantly affect the safety or effectiveness of the device may, in some circumstances, requires the submission of a PMA application, if the change raises complex or novel scientific issues or the product has a new intended use. A manufacturer may be required to submit extensive pre-clinical and clinical data depending on the nature of the changes.</w:t>
      </w:r>
    </w:p>
    <w:p>
      <w:pPr>
        <w:spacing w:after="0" w:line="197" w:lineRule="exact"/>
        <w:rPr>
          <w:sz w:val="20"/>
          <w:szCs w:val="20"/>
          <w:color w:val="auto"/>
        </w:rPr>
      </w:pPr>
    </w:p>
    <w:p>
      <w:pPr>
        <w:jc w:val="both"/>
        <w:ind w:right="20" w:firstLine="490"/>
        <w:spacing w:after="0" w:line="253" w:lineRule="auto"/>
        <w:rPr>
          <w:sz w:val="20"/>
          <w:szCs w:val="20"/>
          <w:color w:val="auto"/>
        </w:rPr>
      </w:pPr>
      <w:r>
        <w:rPr>
          <w:rFonts w:ascii="Times New Roman" w:cs="Times New Roman" w:eastAsia="Times New Roman" w:hAnsi="Times New Roman"/>
          <w:sz w:val="20"/>
          <w:szCs w:val="20"/>
          <w:color w:val="auto"/>
        </w:rPr>
        <w:t>The FDA requires every manufacturer to make the determination regarding the need for a new 510(k) submission in the first instance, but the FDA may review any manufacturer’s decision. If the FDA disagrees with the manufacturer’s determination and requires new 510(k) clearances or PMA application approvals for modifications to previously cleared products for which the manufacturer concluded that new clearances or approvals are unnecessary, the manufacturer may</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700"/>
          </w:cols>
          <w:pgMar w:left="1080" w:top="1064" w:right="1100" w:bottom="0" w:gutter="0" w:footer="0" w:header="0"/>
          <w:type w:val="continuous"/>
        </w:sectPr>
      </w:pPr>
    </w:p>
    <w:bookmarkStart w:id="47" w:name="page48"/>
    <w:bookmarkEnd w:id="47"/>
    <w:p>
      <w:pPr>
        <w:ind w:right="160"/>
        <w:spacing w:after="0" w:line="260" w:lineRule="auto"/>
        <w:rPr>
          <w:sz w:val="20"/>
          <w:szCs w:val="20"/>
          <w:color w:val="auto"/>
        </w:rPr>
      </w:pPr>
      <w:r>
        <w:rPr>
          <w:rFonts w:ascii="Times New Roman" w:cs="Times New Roman" w:eastAsia="Times New Roman" w:hAnsi="Times New Roman"/>
          <w:sz w:val="20"/>
          <w:szCs w:val="20"/>
          <w:color w:val="auto"/>
        </w:rPr>
        <w:t>be required to cease marketing or distribution of the products or to recall the modified product until it obtains clearance or approval, and the manufacturer may be subject to significant regulatory fines or penalties. In addition, the FDA is currently evaluating the 510(k) process and may make substantial changes to industry requirements.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Premarket Approval Application</w:t>
      </w:r>
    </w:p>
    <w:p>
      <w:pPr>
        <w:spacing w:after="0" w:line="23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PMA application process for approval to market a medical device is more complex, costly, and time-consuming than the 510(k) clearance procedure. A PMA application must be supported by extensive data, including technical information regarding device design and development, preclinical studies, clinical trials, manufacturing and controls information and labeling information that demonstrate the safety and effectiveness of the device for its intended use. After a PMA application is submitted, the FDA has 45 days to determine whether it is sufficiently complete to permit a substantive review. If the PMA application is complete, the FDA will file the PMA application. If the FDA accepts the application for filing, the agency will begin an in-depth substantive review of the application. By statute, the FDA has 180 days to review the application although, generally, review of the application often takes between one and three years, and may take significantly longer. If the FDA has questions, it will likely issue a first major deficiency letter within 150 days of filing. It may also refer the PMA application to an FDA advisory panel for additional review, and will conduct a preapproval inspection of the manufacturing facility to ensure compliance with the QSR, either of which could extend the 180-day response target. In addition, the FDA may request additional information or request the performance of additional clinical trials in which case the PMA application approval may be delayed while the trials are conducted and the data acquired are submitted in an amendment to the PMA. Even with additional trials, the FDA may not approve the PMA application.</w:t>
      </w:r>
    </w:p>
    <w:p>
      <w:pPr>
        <w:spacing w:after="0" w:line="19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If the FDA’s evaluations of both the PMA application and the manufacturing facilities are favorable, the FDA will either issue an approval letter authorizing commercial marketing or an approvable letter that usually contains a number of conditions that must be met in order to secure final approval. If the FDA’s evaluations are not favorable, the FDA will deny approval of the PMA application or issue a not approvable letter. The PMA application process, including the gathering of clinical and nonclinical data and the submission to and review by the FDA, can take several years, and the process can be expensive and uncertain. Moreover, even if the FDA approves a PMA application, the FDA may approve the device with an indication that is narrower or more limited than originally sought. The FDA can impose post-approval conditions that it believes necessary to ensure the safety and effectiveness of the device, including, among other things, restrictions on labeling, promotion, sale and distribution. After approval of a PMA application, a new PMA application or PMA application supplement may be required for a modification to the device, its labeling, or its manufacturing process. PMA application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The time for review of a PMA application supplement may vary depending on the type of change, but it can be lengthy. In addition, in some cases the FDA might require additional clinical data.</w:t>
      </w:r>
    </w:p>
    <w:p>
      <w:pPr>
        <w:spacing w:after="0" w:line="212" w:lineRule="exact"/>
        <w:rPr>
          <w:sz w:val="20"/>
          <w:szCs w:val="20"/>
          <w:color w:val="auto"/>
        </w:rPr>
      </w:pPr>
    </w:p>
    <w:p>
      <w:pPr>
        <w:ind w:right="180" w:firstLine="489"/>
        <w:spacing w:after="0" w:line="280" w:lineRule="auto"/>
        <w:rPr>
          <w:sz w:val="20"/>
          <w:szCs w:val="20"/>
          <w:color w:val="auto"/>
        </w:rPr>
      </w:pPr>
      <w:r>
        <w:rPr>
          <w:rFonts w:ascii="Times New Roman" w:cs="Times New Roman" w:eastAsia="Times New Roman" w:hAnsi="Times New Roman"/>
          <w:sz w:val="20"/>
          <w:szCs w:val="20"/>
          <w:color w:val="auto"/>
        </w:rPr>
        <w:t>PMA applications are subject to an application fee. For federal fiscal year 2026, the standard fee is $579,272 and the small business fee is $144,818.</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Investigational Device Exemption</w:t>
      </w:r>
    </w:p>
    <w:p>
      <w:pPr>
        <w:spacing w:after="0" w:line="237" w:lineRule="exact"/>
        <w:rPr>
          <w:sz w:val="20"/>
          <w:szCs w:val="20"/>
          <w:color w:val="auto"/>
        </w:rPr>
      </w:pPr>
    </w:p>
    <w:p>
      <w:pPr>
        <w:ind w:right="60" w:firstLine="489"/>
        <w:spacing w:after="0" w:line="244" w:lineRule="auto"/>
        <w:rPr>
          <w:sz w:val="20"/>
          <w:szCs w:val="20"/>
          <w:color w:val="auto"/>
        </w:rPr>
      </w:pPr>
      <w:r>
        <w:rPr>
          <w:rFonts w:ascii="Times New Roman" w:cs="Times New Roman" w:eastAsia="Times New Roman" w:hAnsi="Times New Roman"/>
          <w:sz w:val="20"/>
          <w:szCs w:val="20"/>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Non-significant risk devices are devices that do not pose a significant risk to the human subjects. A non-significant risk device study requires only IRB approval prior to initiation of a clinical study.</w:t>
      </w:r>
    </w:p>
    <w:p>
      <w:pPr>
        <w:spacing w:after="0" w:line="202"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19"/>
          <w:szCs w:val="19"/>
          <w:color w:val="auto"/>
        </w:rPr>
        <w:t>An IDE application must be supported by appropriate data, such as animal and laboratory testing results, showing that it is safe to test the device in humans and that the testing protocol is scientifically sound. An IDE application is considered approved 30 days after it has been received by the FDA, unless the FDA otherwise informs the sponsor prior</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720"/>
          </w:cols>
          <w:pgMar w:left="1080" w:top="1064" w:right="1080" w:bottom="0" w:gutter="0" w:footer="0" w:header="0"/>
          <w:type w:val="continuous"/>
        </w:sectPr>
      </w:pPr>
    </w:p>
    <w:bookmarkStart w:id="48" w:name="page49"/>
    <w:bookmarkEnd w:id="48"/>
    <w:p>
      <w:pPr>
        <w:spacing w:after="0" w:line="245" w:lineRule="auto"/>
        <w:rPr>
          <w:sz w:val="20"/>
          <w:szCs w:val="20"/>
          <w:color w:val="auto"/>
        </w:rPr>
      </w:pPr>
      <w:r>
        <w:rPr>
          <w:rFonts w:ascii="Times New Roman" w:cs="Times New Roman" w:eastAsia="Times New Roman" w:hAnsi="Times New Roman"/>
          <w:sz w:val="20"/>
          <w:szCs w:val="20"/>
          <w:color w:val="auto"/>
        </w:rPr>
        <w:t>to 30 calendar days from the date of receipt, that the IDE is approved, approved with conditions, or disapproved. The FDA typically grants IDE approval for a specified number of subjects to be enrolled at specified study centers. The clinical trial must be conducted in accordance with applicable regulations, including but not limited to the FDA’s IDE regulations and GCP. The investigators must obtain subject informed consent, rigorously follow the investigational plan and study protocol, control the disposition of investigational devices, and comply with all reporting and record keeping requirements. A clinical trial may be suspended or terminated by the FDA, the IRB or the sponsor at any time for various reasons, including a belief that the risks to the study participants outweigh the benefits of participation in the trial. Approval of an IDE does not bind the FDA to accept the results of the trial as sufficient to prove the product’s safety and efficacy, even if the trial meets its intended success criteria.</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i w:val="1"/>
          <w:iCs w:val="1"/>
          <w:color w:val="auto"/>
        </w:rPr>
        <w:t>Post-Marketing Restrictions and Enforcement</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After a device is placed on the market, numerous regulatory requirements apply. These include but are not limited</w:t>
      </w:r>
    </w:p>
    <w:p>
      <w:pPr>
        <w:spacing w:after="0"/>
        <w:rPr>
          <w:sz w:val="20"/>
          <w:szCs w:val="20"/>
          <w:color w:val="auto"/>
        </w:rPr>
      </w:pPr>
      <w:r>
        <w:rPr>
          <w:rFonts w:ascii="Times New Roman" w:cs="Times New Roman" w:eastAsia="Times New Roman" w:hAnsi="Times New Roman"/>
          <w:sz w:val="20"/>
          <w:szCs w:val="20"/>
          <w:color w:val="auto"/>
        </w:rPr>
        <w:t>to:</w:t>
      </w:r>
    </w:p>
    <w:p>
      <w:pPr>
        <w:spacing w:after="0" w:line="255" w:lineRule="exact"/>
        <w:rPr>
          <w:sz w:val="20"/>
          <w:szCs w:val="20"/>
          <w:color w:val="auto"/>
        </w:rPr>
      </w:pPr>
    </w:p>
    <w:p>
      <w:pPr>
        <w:ind w:left="860" w:hanging="363"/>
        <w:spacing w:after="0"/>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submitting and updating establishment registration and device listings with the FDA;</w:t>
      </w:r>
    </w:p>
    <w:p>
      <w:pPr>
        <w:spacing w:after="0" w:line="252" w:lineRule="exact"/>
        <w:rPr>
          <w:rFonts w:ascii="Arial" w:cs="Arial" w:eastAsia="Arial" w:hAnsi="Arial"/>
          <w:sz w:val="20"/>
          <w:szCs w:val="20"/>
          <w:color w:val="auto"/>
        </w:rPr>
      </w:pPr>
    </w:p>
    <w:p>
      <w:pPr>
        <w:ind w:left="860" w:right="220" w:hanging="363"/>
        <w:spacing w:after="0" w:line="260"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the QSR, which require manufacturers to follow stringent design, testing, control, documentation, record maintenance, including maintenance of complaint and related investigation files, and other quality assurance controls during the manufacturing process;</w:t>
      </w:r>
    </w:p>
    <w:p>
      <w:pPr>
        <w:spacing w:after="0" w:line="196" w:lineRule="exact"/>
        <w:rPr>
          <w:rFonts w:ascii="Arial" w:cs="Arial" w:eastAsia="Arial" w:hAnsi="Arial"/>
          <w:sz w:val="20"/>
          <w:szCs w:val="20"/>
          <w:color w:val="auto"/>
        </w:rPr>
      </w:pPr>
    </w:p>
    <w:p>
      <w:pPr>
        <w:ind w:left="860" w:right="20" w:hanging="363"/>
        <w:spacing w:after="0" w:line="259"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unannounced routine or for-cause device inspections by the FDA, which may include our suppliers’ facilities labeling regulations, which prohibit the promotion of products for uncleared or unapproved or “off-label” uses and impose other restrictions on labeling; and</w:t>
      </w:r>
    </w:p>
    <w:p>
      <w:pPr>
        <w:spacing w:after="0" w:line="198" w:lineRule="exact"/>
        <w:rPr>
          <w:rFonts w:ascii="Arial" w:cs="Arial" w:eastAsia="Arial" w:hAnsi="Arial"/>
          <w:sz w:val="20"/>
          <w:szCs w:val="20"/>
          <w:color w:val="auto"/>
        </w:rPr>
      </w:pPr>
    </w:p>
    <w:p>
      <w:pPr>
        <w:ind w:left="860" w:right="60" w:hanging="363"/>
        <w:spacing w:after="0" w:line="279"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post-approval restrictions or conditions, including requirements to conduct post-market surveillance studies to establish continued safety data or tracking products through the chain of distribution to the patient level.</w:t>
      </w:r>
    </w:p>
    <w:p>
      <w:pPr>
        <w:spacing w:after="0" w:line="164"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auto"/>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spacing w:after="0" w:line="192" w:lineRule="exact"/>
        <w:rPr>
          <w:sz w:val="20"/>
          <w:szCs w:val="20"/>
          <w:color w:val="auto"/>
        </w:rPr>
      </w:pPr>
    </w:p>
    <w:p>
      <w:pPr>
        <w:ind w:right="40" w:firstLine="489"/>
        <w:spacing w:after="0" w:line="250" w:lineRule="auto"/>
        <w:rPr>
          <w:sz w:val="20"/>
          <w:szCs w:val="20"/>
          <w:color w:val="auto"/>
        </w:rPr>
      </w:pPr>
      <w:r>
        <w:rPr>
          <w:rFonts w:ascii="Times New Roman" w:cs="Times New Roman" w:eastAsia="Times New Roman" w:hAnsi="Times New Roman"/>
          <w:sz w:val="20"/>
          <w:szCs w:val="20"/>
          <w:color w:val="auto"/>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injury or death. Manufacturers may, under their own initiative, recall a product if any material deficiency in a device is found. The FDA requires that certain classifications of recalls be reported to the FDA within 10 working days after the recall is initiated.</w:t>
      </w:r>
    </w:p>
    <w:p>
      <w:pPr>
        <w:spacing w:after="0" w:line="192" w:lineRule="exact"/>
        <w:rPr>
          <w:sz w:val="20"/>
          <w:szCs w:val="20"/>
          <w:color w:val="auto"/>
        </w:rPr>
      </w:pPr>
    </w:p>
    <w:p>
      <w:pPr>
        <w:ind w:right="40" w:firstLine="490"/>
        <w:spacing w:after="0" w:line="280" w:lineRule="auto"/>
        <w:rPr>
          <w:sz w:val="20"/>
          <w:szCs w:val="20"/>
          <w:color w:val="auto"/>
        </w:rPr>
      </w:pPr>
      <w:r>
        <w:rPr>
          <w:rFonts w:ascii="Times New Roman" w:cs="Times New Roman" w:eastAsia="Times New Roman" w:hAnsi="Times New Roman"/>
          <w:sz w:val="20"/>
          <w:szCs w:val="20"/>
          <w:color w:val="auto"/>
        </w:rPr>
        <w:t>The failure to comply with applicable regulatory requirements can result in enforcement action by the FDA, which may include any of the following sanctions:</w:t>
      </w:r>
    </w:p>
    <w:p>
      <w:pPr>
        <w:spacing w:after="0" w:line="179" w:lineRule="exact"/>
        <w:rPr>
          <w:sz w:val="20"/>
          <w:szCs w:val="20"/>
          <w:color w:val="auto"/>
        </w:rPr>
      </w:pPr>
    </w:p>
    <w:p>
      <w:pPr>
        <w:ind w:left="860" w:hanging="363"/>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untitled letters, warning letters, fines, injunctions or civil penalties;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recalls, detentions or seizures of products;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restrictions;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the introduction of products into the market;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total or partial suspension of production;</w:t>
      </w:r>
    </w:p>
    <w:p>
      <w:pPr>
        <w:spacing w:after="0" w:line="252" w:lineRule="exact"/>
        <w:rPr>
          <w:rFonts w:ascii="Arial" w:cs="Arial" w:eastAsia="Arial" w:hAnsi="Arial"/>
          <w:sz w:val="20"/>
          <w:szCs w:val="20"/>
          <w:color w:val="auto"/>
        </w:rPr>
      </w:pPr>
    </w:p>
    <w:p>
      <w:pPr>
        <w:ind w:left="860" w:right="20" w:hanging="363"/>
        <w:spacing w:after="0" w:line="279" w:lineRule="auto"/>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delay or refusal of the FDA or other regulators to grant 510(k) clearance or PMA application approvals of new products;</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720"/>
          </w:cols>
          <w:pgMar w:left="1080" w:top="1064" w:right="1080" w:bottom="0" w:gutter="0" w:footer="0" w:header="0"/>
          <w:type w:val="continuous"/>
        </w:sectPr>
      </w:pPr>
    </w:p>
    <w:bookmarkStart w:id="49" w:name="page50"/>
    <w:bookmarkEnd w:id="49"/>
    <w:p>
      <w:pPr>
        <w:ind w:left="860" w:hanging="363"/>
        <w:spacing w:after="0"/>
        <w:tabs>
          <w:tab w:leader="none" w:pos="86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withdrawals of 510(k) clearance or PMA application approvals; or</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in the most serious cases, criminal prosecution.</w:t>
      </w:r>
    </w:p>
    <w:p>
      <w:pPr>
        <w:spacing w:after="0" w:line="239"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To ensure compliance with regulatory requirements, medical device manufacturers are subject to market surveillance and periodic, pre-scheduled and unannounced inspections by the FDA, and these inspections may include the manufacturing facilities of subcontractors.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Review and Approval of Combination Products in the United States</w:t>
      </w:r>
    </w:p>
    <w:p>
      <w:pPr>
        <w:spacing w:after="0" w:line="250" w:lineRule="exact"/>
        <w:rPr>
          <w:sz w:val="20"/>
          <w:szCs w:val="20"/>
          <w:color w:val="auto"/>
        </w:rPr>
      </w:pPr>
    </w:p>
    <w:p>
      <w:pPr>
        <w:ind w:left="860" w:hanging="363"/>
        <w:spacing w:after="0" w:line="249" w:lineRule="auto"/>
        <w:tabs>
          <w:tab w:leader="none" w:pos="8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 combination product is a product composed of any combination of a drug and a device; a biological product and a device; a drug and a biological product; or a drug, device, and a biological product. Under FDA’s regulations, a combination product is defined to include: a product comprised of two or more regulated components that are physically, chemically, or otherwise combined or mixed and produced as a single entity (a “single-entity” combination product);</w:t>
      </w:r>
    </w:p>
    <w:p>
      <w:pPr>
        <w:spacing w:after="0" w:line="210" w:lineRule="exact"/>
        <w:rPr>
          <w:rFonts w:ascii="Arial" w:cs="Arial" w:eastAsia="Arial" w:hAnsi="Arial"/>
          <w:sz w:val="20"/>
          <w:szCs w:val="20"/>
          <w:color w:val="auto"/>
        </w:rPr>
      </w:pPr>
    </w:p>
    <w:p>
      <w:pPr>
        <w:ind w:left="860" w:right="40" w:hanging="363"/>
        <w:spacing w:after="0" w:line="260" w:lineRule="auto"/>
        <w:tabs>
          <w:tab w:leader="none" w:pos="8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two or more separate products packaged together in a single package or as a unit and comprised of drug and device products, device and biological products, or biological and drug products (“co-packaged” combination product);</w:t>
      </w:r>
    </w:p>
    <w:p>
      <w:pPr>
        <w:spacing w:after="0" w:line="196" w:lineRule="exact"/>
        <w:rPr>
          <w:rFonts w:ascii="Arial" w:cs="Arial" w:eastAsia="Arial" w:hAnsi="Arial"/>
          <w:sz w:val="20"/>
          <w:szCs w:val="20"/>
          <w:color w:val="auto"/>
        </w:rPr>
      </w:pPr>
    </w:p>
    <w:p>
      <w:pPr>
        <w:ind w:left="860" w:right="80" w:hanging="363"/>
        <w:spacing w:after="0" w:line="260" w:lineRule="auto"/>
        <w:tabs>
          <w:tab w:leader="none" w:pos="91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 drug, device, or biological product packaged separately that according to its investigational plan or proposed labeling is intended for use only with an approved individually specified drug, device, or biological product (a “cross-labeled” combination product); or</w:t>
      </w:r>
    </w:p>
    <w:p>
      <w:pPr>
        <w:spacing w:after="0" w:line="196" w:lineRule="exact"/>
        <w:rPr>
          <w:rFonts w:ascii="Arial" w:cs="Arial" w:eastAsia="Arial" w:hAnsi="Arial"/>
          <w:sz w:val="20"/>
          <w:szCs w:val="20"/>
          <w:color w:val="auto"/>
        </w:rPr>
      </w:pPr>
    </w:p>
    <w:p>
      <w:pPr>
        <w:ind w:left="860" w:right="100" w:hanging="363"/>
        <w:spacing w:after="0" w:line="253" w:lineRule="auto"/>
        <w:tabs>
          <w:tab w:leader="none" w:pos="91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 (a “cross-labeled” investigational combination product).</w:t>
      </w:r>
    </w:p>
    <w:p>
      <w:pPr>
        <w:spacing w:after="0" w:line="19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FDA has established an Office of Combination Products to serve as a focal point for combination product issues and for medical product classification and assignment issues for agency staff and industry. That office issues guidance and regulations to clarify the regulation of combination products, and is responsible for assigning products to an FDA center for premarket review and regulation where their classification or assignment is unclear or in dispute. Combination products are assigned to an FDA center based on a determination of the “primary mode of action” or PMOA of the combination product. The FDCA defines PMOA as “the single mode of action of a combination product that provides the most important therapeutic action of the combination product.” For example, if the PMOA of a device-biological combination product is attributable to the biological product, the FDA Division responsible for premarket review of that biological product would have primary jurisdiction for the combination product. One investigational application is generally sufficient for a combination product, but that application must include all information on the entire combination product. In most cases, the type of investigational application is that typically required by the lead center. Thus, if the drug constituent part of a drug/device combination product provides the PMOA, the investigation would be under an IND.</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Federal and State Data Privacy Laws</w:t>
      </w:r>
    </w:p>
    <w:p>
      <w:pPr>
        <w:spacing w:after="0" w:line="23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or HIPAA, the HHS has issued regulations to protect the privacy and security of protected health information, or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are regulated by the Common Rule, which also includes specific privacy -related provisions. In addition to federal privacy regulations, there are a number of state laws governing confidentiality and security of health information</w:t>
      </w:r>
    </w:p>
    <w:p>
      <w:pPr>
        <w:sectPr>
          <w:pgSz w:w="11880" w:h="15480" w:orient="portrait"/>
          <w:cols w:equalWidth="0" w:num="1">
            <w:col w:w="9680"/>
          </w:cols>
          <w:pgMar w:left="1080" w:top="1080" w:right="112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680"/>
          </w:cols>
          <w:pgMar w:left="1080" w:top="1080" w:right="1120" w:bottom="0" w:gutter="0" w:footer="0" w:header="0"/>
          <w:type w:val="continuous"/>
        </w:sectPr>
      </w:pPr>
    </w:p>
    <w:bookmarkStart w:id="50" w:name="page51"/>
    <w:bookmarkEnd w:id="50"/>
    <w:p>
      <w:pPr>
        <w:spacing w:after="0" w:line="248" w:lineRule="auto"/>
        <w:rPr>
          <w:sz w:val="20"/>
          <w:szCs w:val="20"/>
          <w:color w:val="auto"/>
        </w:rPr>
      </w:pPr>
      <w:r>
        <w:rPr>
          <w:rFonts w:ascii="Times New Roman" w:cs="Times New Roman" w:eastAsia="Times New Roman" w:hAnsi="Times New Roman"/>
          <w:sz w:val="20"/>
          <w:szCs w:val="20"/>
          <w:color w:val="auto"/>
        </w:rPr>
        <w:t>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9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At the state level, California has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20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will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203" w:lineRule="exact"/>
        <w:rPr>
          <w:sz w:val="20"/>
          <w:szCs w:val="20"/>
          <w:color w:val="auto"/>
        </w:rPr>
      </w:pPr>
    </w:p>
    <w:p>
      <w:pPr>
        <w:ind w:right="220" w:firstLine="490"/>
        <w:spacing w:after="0" w:line="250" w:lineRule="auto"/>
        <w:rPr>
          <w:sz w:val="20"/>
          <w:szCs w:val="20"/>
          <w:color w:val="auto"/>
        </w:rPr>
      </w:pPr>
      <w:r>
        <w:rPr>
          <w:rFonts w:ascii="Times New Roman" w:cs="Times New Roman" w:eastAsia="Times New Roman" w:hAnsi="Times New Roman"/>
          <w:sz w:val="20"/>
          <w:szCs w:val="20"/>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19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 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680"/>
          </w:cols>
          <w:pgMar w:left="1080" w:top="1064" w:right="1120" w:bottom="0" w:gutter="0" w:footer="0" w:header="0"/>
          <w:type w:val="continuous"/>
        </w:sectPr>
      </w:pPr>
    </w:p>
    <w:bookmarkStart w:id="51" w:name="page52"/>
    <w:bookmarkEnd w:id="51"/>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Medical Products in the European Union</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order to market any product outside of the United States, a company must also comply with numerous and</w:t>
      </w:r>
    </w:p>
    <w:p>
      <w:pPr>
        <w:spacing w:after="0" w:line="242" w:lineRule="auto"/>
        <w:rPr>
          <w:sz w:val="20"/>
          <w:szCs w:val="20"/>
          <w:color w:val="auto"/>
        </w:rPr>
      </w:pPr>
      <w:r>
        <w:rPr>
          <w:rFonts w:ascii="Times New Roman" w:cs="Times New Roman" w:eastAsia="Times New Roman" w:hAnsi="Times New Roman"/>
          <w:sz w:val="20"/>
          <w:szCs w:val="20"/>
          <w:color w:val="auto"/>
        </w:rPr>
        <w:t>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regulatory authorities of foreign countries or economic areas, such as the 27-member European Union,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The European Union and the European Economic Area, comprised of the European Union member states plus Norway, Iceland, and Liechtenstein, or EEA, applies harmonized regulatory rules for medicinal products, for the approval process and requirements governing the conduct of clinical trials, and for the regulatory approval of medicinal products. However, pricing and reimbursement for medicinal products varies greatly between countries and jurisdictions and can involve additional testing for health technology assessments.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Non-clinical Studies</w:t>
      </w:r>
    </w:p>
    <w:p>
      <w:pPr>
        <w:spacing w:after="0" w:line="236"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 xml:space="preserve">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 e.g., radio-pharmaceutical precursors for radio-labeling purposes). In particular, non-clinical studies, both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Clinical Trial Approval</w:t>
      </w:r>
    </w:p>
    <w:p>
      <w:pPr>
        <w:spacing w:after="0" w:line="23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On January 31, 2022, the Clinical Trials Regulation (EU) No 536/2014, or CTR, became effective in the European Union and replaced the prior Clinical Trials Directive 2001/20/EC, or CTD.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Beyond streamlining the process, the CTR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CTR.</w:t>
      </w:r>
    </w:p>
    <w:p>
      <w:pPr>
        <w:spacing w:after="0" w:line="202" w:lineRule="exact"/>
        <w:rPr>
          <w:sz w:val="20"/>
          <w:szCs w:val="20"/>
          <w:color w:val="auto"/>
        </w:rPr>
      </w:pPr>
    </w:p>
    <w:p>
      <w:pPr>
        <w:ind w:right="80" w:firstLine="490"/>
        <w:spacing w:after="0" w:line="250" w:lineRule="auto"/>
        <w:rPr>
          <w:sz w:val="20"/>
          <w:szCs w:val="20"/>
          <w:color w:val="auto"/>
        </w:rPr>
      </w:pPr>
      <w:r>
        <w:rPr>
          <w:rFonts w:ascii="Times New Roman" w:cs="Times New Roman" w:eastAsia="Times New Roman" w:hAnsi="Times New Roman"/>
          <w:sz w:val="20"/>
          <w:szCs w:val="20"/>
          <w:color w:val="auto"/>
        </w:rPr>
        <w:t>The CTR foresaw a three-year transition period. The extent to which ongoing and new clinical trials were governed by the CTR varies. Clinical trials for which an application was submitted (i) prior to January 31, 2022 under the CTD, or (ii) between January 31, 2022 and January 31, 2023 and for which the sponsor has opted for the application of the CTD remained governed by the CTD until January 31, 2025. Since January 31, 2025, all clinical trials (including those which are ongoing) are subject to the provisions of the CTR.</w:t>
      </w:r>
    </w:p>
    <w:p>
      <w:pPr>
        <w:sectPr>
          <w:pgSz w:w="11880" w:h="15480" w:orient="portrait"/>
          <w:cols w:equalWidth="0" w:num="1">
            <w:col w:w="9700"/>
          </w:cols>
          <w:pgMar w:left="1080" w:top="106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700"/>
          </w:cols>
          <w:pgMar w:left="1080" w:top="1067" w:right="1100" w:bottom="0" w:gutter="0" w:footer="0" w:header="0"/>
          <w:type w:val="continuous"/>
        </w:sectPr>
      </w:pPr>
    </w:p>
    <w:bookmarkStart w:id="52" w:name="page53"/>
    <w:bookmarkEnd w:id="52"/>
    <w:p>
      <w:pPr>
        <w:ind w:right="760" w:firstLine="489"/>
        <w:spacing w:after="0" w:line="280" w:lineRule="auto"/>
        <w:rPr>
          <w:sz w:val="20"/>
          <w:szCs w:val="20"/>
          <w:color w:val="auto"/>
        </w:rPr>
      </w:pPr>
      <w:r>
        <w:rPr>
          <w:rFonts w:ascii="Times New Roman" w:cs="Times New Roman" w:eastAsia="Times New Roman" w:hAnsi="Times New Roman"/>
          <w:sz w:val="20"/>
          <w:szCs w:val="20"/>
          <w:color w:val="auto"/>
        </w:rPr>
        <w:t>Parties conducting certain clinical trials must, as in the United States, post clinical trial information in the European Union at the EudraCT website: https://eudract.ema.europa.eu.</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Marketing Authorization</w:t>
      </w:r>
    </w:p>
    <w:p>
      <w:pPr>
        <w:spacing w:after="0" w:line="236"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To obtain marketing authorization of a drug under European Union regulatory systems, a sponsor must submit a marketing authorization application, or MA, either under a centralized or decentralized procedure/mutual recognition procedure, or MRP. 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9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Under the centralized procedure, the Committee for Medicinal Products for Human Use, or the CHMP, established at the European Medicines Agency, or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9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MRP is available to sponsors who wish to market a product in various EU Member States where such product has not received marketing approval in any EU Member States before. The decentralized procedure provides for approval by one or more other, or concerned, EU Member States of an assessment of an application performed by one member state designated by the sponsor, known as the reference member state, or RMS. Under this procedure, a sponsor submits an application based on identical dossiers and related materials, including a draft summary of product characteristics, and draft labeling and package leaflet, to the RMS and concerned member states. The reference member state prepares a draft assessment report and drafts of the related materials within 210 days after receipt of a valid application. Within 90 days of receiving the RMS’ assessment report and related materials, each concerned member state must decide whether to approve the assessment report and related materials.</w:t>
      </w:r>
    </w:p>
    <w:p>
      <w:pPr>
        <w:spacing w:after="0" w:line="197"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20"/>
          <w:szCs w:val="20"/>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Conditional Marketing Authorization</w:t>
      </w:r>
    </w:p>
    <w:p>
      <w:pPr>
        <w:spacing w:after="0" w:line="237"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In particular circumstances, EU legislation (Article 14–a Regulation (EC) No 726/2004 (as amended by Regulation (EU) 2019/5 and Regulation (EC) No 507/2006 on Conditional Marketing Authorizations for Medicinal Products for Human Use)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700"/>
          </w:cols>
          <w:pgMar w:left="1080" w:top="1064" w:right="1100" w:bottom="0" w:gutter="0" w:footer="0" w:header="0"/>
          <w:type w:val="continuous"/>
        </w:sectPr>
      </w:pPr>
    </w:p>
    <w:bookmarkStart w:id="53" w:name="page54"/>
    <w:bookmarkEnd w:id="53"/>
    <w:p>
      <w:pPr>
        <w:ind w:right="440"/>
        <w:spacing w:after="0" w:line="280" w:lineRule="auto"/>
        <w:rPr>
          <w:sz w:val="20"/>
          <w:szCs w:val="20"/>
          <w:color w:val="auto"/>
        </w:rPr>
      </w:pPr>
      <w:r>
        <w:rPr>
          <w:rFonts w:ascii="Times New Roman" w:cs="Times New Roman" w:eastAsia="Times New Roman" w:hAnsi="Times New Roman"/>
          <w:sz w:val="20"/>
          <w:szCs w:val="20"/>
          <w:color w:val="auto"/>
        </w:rPr>
        <w:t>conditional marketing authorization, but applicants can also request EMA to conduct an accelerated assessment, for instance in cases of unmet medical needs.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Exceptional Circumstances</w:t>
      </w:r>
    </w:p>
    <w:p>
      <w:pPr>
        <w:spacing w:after="0" w:line="23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An MA may also be granted “under exceptional circumstances” under Article 14(8) of Regulation (EC) No 726/2004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an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 Under these procedures, before granting the MA, the EMA or the competent authorities of the EU Member States make an assessment of the risk-benefit balance of the product on the basis of scientific criteria concerning its quality, safety and efficacy.</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Periods of Authorization and Renewals</w:t>
      </w:r>
    </w:p>
    <w:p>
      <w:pPr>
        <w:spacing w:after="0" w:line="23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 marketing authorization has an initial validity for five years in principle. The marketing authorization may be renewed after five years on the basis of a re-evaluation of the risk-benefit balance by the EMA or by the competent authority of the European Union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authorities of the European Union Member States decides, on justified grounds relating to pharmacovigilance, to proceed with one further five-year renewal period. Any authorization which is not followed by the actual placing of the medicinal product on the European Union market (in case of centralized procedure) or on the market of the authorizing European Union Member State within three years after authorization, or if initially placed on the market, is no longer actually present on the market for three consecutive years, ceases to be valid (the so-called sunset clause).</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Regulatory Requirements after a Marketing Authorization has been Obtained</w:t>
      </w:r>
    </w:p>
    <w:p>
      <w:pPr>
        <w:spacing w:after="0" w:line="236"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20"/>
          <w:szCs w:val="20"/>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97" w:lineRule="exact"/>
        <w:rPr>
          <w:sz w:val="20"/>
          <w:szCs w:val="20"/>
          <w:color w:val="auto"/>
        </w:rPr>
      </w:pPr>
    </w:p>
    <w:p>
      <w:pPr>
        <w:ind w:left="860" w:right="700" w:hanging="363"/>
        <w:spacing w:after="0" w:line="279" w:lineRule="auto"/>
        <w:tabs>
          <w:tab w:leader="none" w:pos="8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the European Union’s stringent pharmacovigilance or safety reporting rules must be ensured. These rules can impose post-authorization studies and additional monitoring obligations.</w:t>
      </w:r>
    </w:p>
    <w:p>
      <w:pPr>
        <w:spacing w:after="0" w:line="178" w:lineRule="exact"/>
        <w:rPr>
          <w:rFonts w:ascii="Arial" w:cs="Arial" w:eastAsia="Arial" w:hAnsi="Arial"/>
          <w:sz w:val="20"/>
          <w:szCs w:val="20"/>
          <w:color w:val="auto"/>
        </w:rPr>
      </w:pPr>
    </w:p>
    <w:p>
      <w:pPr>
        <w:ind w:left="860" w:right="100" w:hanging="363"/>
        <w:spacing w:after="0" w:line="246" w:lineRule="auto"/>
        <w:tabs>
          <w:tab w:leader="none" w:pos="8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4" w:lineRule="exact"/>
        <w:rPr>
          <w:rFonts w:ascii="Arial" w:cs="Arial" w:eastAsia="Arial" w:hAnsi="Arial"/>
          <w:sz w:val="20"/>
          <w:szCs w:val="20"/>
          <w:color w:val="auto"/>
        </w:rPr>
      </w:pPr>
    </w:p>
    <w:p>
      <w:pPr>
        <w:ind w:left="860" w:hanging="363"/>
        <w:spacing w:after="0" w:line="253" w:lineRule="auto"/>
        <w:tabs>
          <w:tab w:leader="none" w:pos="8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 Direct-to-consumer advertising of prescription medicines is prohibited across the European Union.</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700"/>
          </w:cols>
          <w:pgMar w:left="1080" w:top="1064" w:right="1100" w:bottom="0" w:gutter="0" w:footer="0" w:header="0"/>
          <w:type w:val="continuous"/>
        </w:sectPr>
      </w:pPr>
    </w:p>
    <w:bookmarkStart w:id="54" w:name="page55"/>
    <w:bookmarkEnd w:id="54"/>
    <w:p>
      <w:pPr>
        <w:ind w:left="500"/>
        <w:spacing w:after="0"/>
        <w:rPr>
          <w:sz w:val="20"/>
          <w:szCs w:val="20"/>
          <w:color w:val="auto"/>
        </w:rPr>
      </w:pPr>
      <w:r>
        <w:rPr>
          <w:rFonts w:ascii="Times New Roman" w:cs="Times New Roman" w:eastAsia="Times New Roman" w:hAnsi="Times New Roman"/>
          <w:sz w:val="20"/>
          <w:szCs w:val="20"/>
          <w:i w:val="1"/>
          <w:iCs w:val="1"/>
          <w:color w:val="auto"/>
        </w:rPr>
        <w:t>Regulatory Data Protection in the European Union</w:t>
      </w:r>
    </w:p>
    <w:p>
      <w:pPr>
        <w:spacing w:after="0" w:line="23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 with a complete independent data package of pharmaceutical tests, preclinical tests and clinical trials.</w:t>
      </w:r>
    </w:p>
    <w:p>
      <w:pPr>
        <w:spacing w:after="0" w:line="19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In this context, it should be noted that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and includes, among other things, provisions that would potentially reduce the duration of regulatory data protection. The European Parliament requested several amendments in April 2024. On December 11, 2025, the European Parliament and Council reached a provisional political agreement on the legislation which is expected to be adopted by mid-2026. Key changes include updating regulatory data exclusivity to a new system with 8 years data exclusivity and reduced market exclusivity period to 1 year which can be extended if specific conditions are fulfilled, adding launch/supply obligations, incentivizing antibiotic innovation with transferable vouchers, and streamlining approval procedures in the European Union. If the legislation is finalized in line with the provisional political agreement, it will have a significant impact on the pharmaceutical industry.</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Pediatric Exclusivity</w:t>
      </w:r>
    </w:p>
    <w:p>
      <w:pPr>
        <w:spacing w:after="0" w:line="237"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or alternatively a one year extension of the regulatory market exclusivity from ten to eleven years, as selected by the marketing authorization holder.</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Patent Term Extensions</w:t>
      </w:r>
    </w:p>
    <w:p>
      <w:pPr>
        <w:spacing w:after="0" w:line="236" w:lineRule="exact"/>
        <w:rPr>
          <w:sz w:val="20"/>
          <w:szCs w:val="20"/>
          <w:color w:val="auto"/>
        </w:rPr>
      </w:pPr>
    </w:p>
    <w:p>
      <w:pPr>
        <w:ind w:right="80" w:firstLine="489"/>
        <w:spacing w:after="0" w:line="246" w:lineRule="auto"/>
        <w:rPr>
          <w:sz w:val="20"/>
          <w:szCs w:val="20"/>
          <w:color w:val="auto"/>
        </w:rPr>
      </w:pPr>
      <w:r>
        <w:rPr>
          <w:rFonts w:ascii="Times New Roman" w:cs="Times New Roman" w:eastAsia="Times New Roman" w:hAnsi="Times New Roman"/>
          <w:sz w:val="20"/>
          <w:szCs w:val="20"/>
          <w:color w:val="auto"/>
        </w:rPr>
        <w:t>The European Union also provides for patent term extension through SPCs. The rules and requirements for obtaining a SPC are set out in Regulation (EC) 469/2009 and are similar to those in the United States. An SPC may extend the term of a patent right for up to five years after its originally scheduled expiration date and can provide up to a maximum of fifteen years of marketing exclusivity for a drug. In certain circumstances, these periods may be extended for six additional months if pediatric exclusivity is obtained. Although SPCs are available throughout the European Union, sponsors must apply on a country-by-country basis, and SPCs are valid on a country-by-country basis. Similar patent term extension rights exist in certain other foreign jurisdictions outside the European Union.</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Reimbursement and Pricing of Prescription Pharmaceuticals</w:t>
      </w:r>
    </w:p>
    <w:p>
      <w:pPr>
        <w:spacing w:after="0" w:line="236"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In the European Union, similar political, economic and regulatory developments to those in the United States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w:t>
      </w:r>
    </w:p>
    <w:p>
      <w:pPr>
        <w:sectPr>
          <w:pgSz w:w="11880" w:h="15480" w:orient="portrait"/>
          <w:cols w:equalWidth="0" w:num="1">
            <w:col w:w="9720"/>
          </w:cols>
          <w:pgMar w:left="1080" w:top="1069" w:right="108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720"/>
          </w:cols>
          <w:pgMar w:left="1080" w:top="1069" w:right="1080" w:bottom="0" w:gutter="0" w:footer="0" w:header="0"/>
          <w:type w:val="continuous"/>
        </w:sectPr>
      </w:pPr>
    </w:p>
    <w:bookmarkStart w:id="55" w:name="page56"/>
    <w:bookmarkEnd w:id="55"/>
    <w:p>
      <w:pPr>
        <w:ind w:right="300"/>
        <w:spacing w:after="0" w:line="280" w:lineRule="auto"/>
        <w:rPr>
          <w:sz w:val="20"/>
          <w:szCs w:val="20"/>
          <w:color w:val="auto"/>
        </w:rPr>
      </w:pPr>
      <w:r>
        <w:rPr>
          <w:rFonts w:ascii="Times New Roman" w:cs="Times New Roman" w:eastAsia="Times New Roman" w:hAnsi="Times New Roman"/>
          <w:sz w:val="20"/>
          <w:szCs w:val="20"/>
          <w:color w:val="auto"/>
        </w:rPr>
        <w:t>approval for a product. To obtain reimbursement or pricing approval in some countries, pharmaceutical firms may be required to conduct a clinical trial that compares the cost-effectiveness of the product to other available therapies.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Medical Devices in the European Union</w:t>
      </w:r>
    </w:p>
    <w:p>
      <w:pPr>
        <w:spacing w:after="0" w:line="238"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auto"/>
        </w:rPr>
        <w:t>In the EEA, medical devices must comply with the General Safety and Performance Requirements, or SPRs, detailed in Annex I of the EU Medical Devices Regulation (Regulation (EU) 2017/745), or the EUMDR, which came into force in May 2021 and replaced the previously applicable EU Medical Devices Directive (Council Directive 93/42/EEC). The EUMDR is meant to establish a uniform, transparent, predictable, and sustainable regulatory framework across the European Union for medical devices. Compliance with SPRs and additional requirements applicable to specific types of devices is a prerequisite to be able to affix the Conformité Européenne mark of conformity, or CE Certificate of Conformity, to medical devices, without which they cannot be marketed or sold in the EEA.</w:t>
      </w:r>
    </w:p>
    <w:p>
      <w:pPr>
        <w:spacing w:after="0" w:line="20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To demonstrate compliance with the SPR and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SPR, a conformity assessment procedure requires the intervention of a third-party organization designated by a competent authority of an EEA country to conduct conformity assessments, or Notified Body. Depending on the relevant conformity assessment procedure, the Notified Body would audit and examine the Technical File and the quality system for the manufacture, design and final inspection of the devices. The Notified Body issues a CE Certificate of Conformity following successful completion of a conformity assessment procedure conducted in relation to the medical device and its manufacturer and their conformity with SPR. The CE Certificate of Conformity entitles the manufacturer to affix the CE mark to its medical devices after having prepared and signed a related EC Declaration of Conformity.</w:t>
      </w:r>
    </w:p>
    <w:p>
      <w:pPr>
        <w:spacing w:after="0" w:line="19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As a general rule, demonstration of conformity of medical devices and their manufacturers with the SPR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This clinical evaluation is part of the product’s Technical File.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and warnings) and the suitability of related Instructions for Use. This assessment must be based on clinical data, which can be obtained from clinical studies conducted on the devices being assessed, scientific literature from similar devices whose equivalence with the assessed device can be demonstrated or both clinical studies and scientific literature.</w:t>
      </w:r>
    </w:p>
    <w:p>
      <w:pPr>
        <w:spacing w:after="0" w:line="200" w:lineRule="exact"/>
        <w:rPr>
          <w:sz w:val="20"/>
          <w:szCs w:val="20"/>
          <w:color w:val="auto"/>
        </w:rPr>
      </w:pPr>
    </w:p>
    <w:p>
      <w:pPr>
        <w:ind w:right="100" w:firstLine="489"/>
        <w:spacing w:after="0" w:line="246" w:lineRule="auto"/>
        <w:rPr>
          <w:sz w:val="20"/>
          <w:szCs w:val="20"/>
          <w:color w:val="auto"/>
        </w:rPr>
      </w:pPr>
      <w:r>
        <w:rPr>
          <w:rFonts w:ascii="Times New Roman" w:cs="Times New Roman" w:eastAsia="Times New Roman" w:hAnsi="Times New Roman"/>
          <w:sz w:val="20"/>
          <w:szCs w:val="20"/>
          <w:color w:val="auto"/>
        </w:rPr>
        <w:t>With respect to implantable devices or devices classified as Class III in the European Union, the manufacturer must conduct clinical studies to obtain the required clinical data, unless relying on existing clinical data from similar devices can be justified. As part of the conformity assessment process, depending on the type of devices, the Notified Body will review the manufacturer’s clinical evaluation process, assess the clinical evaluation data of a representative sample of the device’s subcategory or generic group, or assess all the clinical evaluation data, verify the manufacturer’s assessment of that data and assess the validity of the clinical evaluation report and the conclusions drawn by the manufacturer.</w:t>
      </w:r>
    </w:p>
    <w:p>
      <w:pPr>
        <w:spacing w:after="0" w:line="199" w:lineRule="exact"/>
        <w:rPr>
          <w:sz w:val="20"/>
          <w:szCs w:val="20"/>
          <w:color w:val="auto"/>
        </w:rPr>
      </w:pPr>
    </w:p>
    <w:p>
      <w:pPr>
        <w:ind w:right="120" w:firstLine="490"/>
        <w:spacing w:after="0" w:line="250" w:lineRule="auto"/>
        <w:rPr>
          <w:sz w:val="20"/>
          <w:szCs w:val="20"/>
          <w:color w:val="auto"/>
        </w:rPr>
      </w:pPr>
      <w:r>
        <w:rPr>
          <w:rFonts w:ascii="Times New Roman" w:cs="Times New Roman" w:eastAsia="Times New Roman" w:hAnsi="Times New Roman"/>
          <w:sz w:val="20"/>
          <w:szCs w:val="20"/>
          <w:color w:val="auto"/>
        </w:rPr>
        <w:t>Even after a manufacturer receives a CE Certificate of Conformity enabling the CE mark to be placed on it products and the right to sell the products in the EEA countries, a Notified Body or a competent authority may require post-marketing studies of the products. Failure to comply with such requirements in a timely manner could result in the withdrawal of the CE Certificate of Conformity and the recall or withdrawal of the subject product from the European market.</w:t>
      </w:r>
    </w:p>
    <w:p>
      <w:pPr>
        <w:spacing w:after="0" w:line="193" w:lineRule="exact"/>
        <w:rPr>
          <w:sz w:val="20"/>
          <w:szCs w:val="20"/>
          <w:color w:val="auto"/>
        </w:rPr>
      </w:pPr>
    </w:p>
    <w:p>
      <w:pPr>
        <w:ind w:right="80" w:firstLine="490"/>
        <w:spacing w:after="0" w:line="279" w:lineRule="auto"/>
        <w:rPr>
          <w:sz w:val="20"/>
          <w:szCs w:val="20"/>
          <w:color w:val="auto"/>
        </w:rPr>
      </w:pPr>
      <w:r>
        <w:rPr>
          <w:rFonts w:ascii="Times New Roman" w:cs="Times New Roman" w:eastAsia="Times New Roman" w:hAnsi="Times New Roman"/>
          <w:sz w:val="20"/>
          <w:szCs w:val="20"/>
          <w:color w:val="auto"/>
        </w:rPr>
        <w:t>A manufacturer must inform the Notified Body that carried out the conformity assessment of the medical devices of any planned substantial changes to the devices which could affect compliance with the Essential Requirements or the</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680"/>
          </w:cols>
          <w:pgMar w:left="1080" w:top="1064" w:right="1120" w:bottom="0" w:gutter="0" w:footer="0" w:header="0"/>
          <w:type w:val="continuous"/>
        </w:sectPr>
      </w:pPr>
    </w:p>
    <w:bookmarkStart w:id="56" w:name="page57"/>
    <w:bookmarkEnd w:id="56"/>
    <w:p>
      <w:pPr>
        <w:ind w:right="140"/>
        <w:spacing w:after="0" w:line="250" w:lineRule="auto"/>
        <w:rPr>
          <w:sz w:val="20"/>
          <w:szCs w:val="20"/>
          <w:color w:val="auto"/>
        </w:rPr>
      </w:pPr>
      <w:r>
        <w:rPr>
          <w:rFonts w:ascii="Times New Roman" w:cs="Times New Roman" w:eastAsia="Times New Roman" w:hAnsi="Times New Roman"/>
          <w:sz w:val="20"/>
          <w:szCs w:val="20"/>
          <w:color w:val="auto"/>
        </w:rPr>
        <w:t>devices’ intended purpose. The Notified Body will then assess the changes and verify whether they affect the product’s conformity with the Essential Requirements or the conditions for the use of the devices. If the assessment is favorable, the Notified Body will issue a new CE Certificate of Conformity or an addendum to the existing CE Certificate of Conformity attesting compliance with the Essential Requirements. If it is not, the manufacturer may not be able to continue to market and sell the product in the EEA.</w:t>
      </w:r>
    </w:p>
    <w:p>
      <w:pPr>
        <w:spacing w:after="0" w:line="193"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In the European Union, medical devices may be promoted only for the intended purpose for which the devices have been CE marked. Failure to comply with this requirement could lead to the imposition of penalties by the competent authorities of the European Union Member States. The penalties could include warnings, orders to discontinue the promotion of the medical device, seizure of the promotional materials and fines. Promotional materials must also comply with various laws and codes of conduct developed by medical device industry bodies in the European Union governing promotional claims, comparative advertising, advertising of medical devices reimbursed by the national health insurance systems and advertising to the general public.</w:t>
      </w:r>
    </w:p>
    <w:p>
      <w:pPr>
        <w:spacing w:after="0" w:line="199"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All manufacturers placing medical devices into the market in the EEA must comply with the EU Medical Device Vigilance System. Under the EUMDR, incidents must be reported centrally in the EUDAMED database, whose main modules became functional in November 2025 and will become mandatory on May 28, 2026. Manufacturers are required to take Field Safety Corrective Actions, or FSCAs, to prevent or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The EUMDR considers "serious incidents" those incidents which, directly or indirectly, led, might lead to or might have led to the death of a patient or user or of other persons a serious deterioration in their state of health, or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Brexit and the Regulatory Framework in the United Kingdom</w:t>
      </w:r>
    </w:p>
    <w:p>
      <w:pPr>
        <w:spacing w:after="0" w:line="236" w:lineRule="exact"/>
        <w:rPr>
          <w:sz w:val="20"/>
          <w:szCs w:val="20"/>
          <w:color w:val="auto"/>
        </w:rPr>
      </w:pPr>
    </w:p>
    <w:p>
      <w:pPr>
        <w:ind w:right="200" w:firstLine="490"/>
        <w:spacing w:after="0" w:line="248" w:lineRule="auto"/>
        <w:rPr>
          <w:sz w:val="20"/>
          <w:szCs w:val="20"/>
          <w:color w:val="auto"/>
        </w:rPr>
      </w:pPr>
      <w:r>
        <w:rPr>
          <w:rFonts w:ascii="Times New Roman" w:cs="Times New Roman" w:eastAsia="Times New Roman" w:hAnsi="Times New Roman"/>
          <w:sz w:val="20"/>
          <w:szCs w:val="20"/>
          <w:color w:val="auto"/>
        </w:rPr>
        <w:t>As of January 1, 2025, the Medicines and Healthcare Products Regulatory Agency, or the MHRA, is responsible for approving all medicinal products destined for the U.K. market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domestic law the body of EU law instruments governing medicinal products that pre-existed prior to the United Kingdom’s withdrawal from the European Union.</w:t>
      </w:r>
    </w:p>
    <w:p>
      <w:pPr>
        <w:spacing w:after="0" w:line="19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As of January 1, 2024, a new international recognition procedure, or the IRP, applies which intends to facilitate approval of pharmaceutical products in the United Kingdom.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United States). The RR assessment must have undergone a full and standalone review. RR assessments based on reliance or recognition cannot be used to support an IRP application. A CHMP positive opinion or an MRDC positive end of procedure outcome is an RR authorization for the purposes of IRP.</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Data Protection Regulation</w:t>
      </w:r>
    </w:p>
    <w:p>
      <w:pPr>
        <w:spacing w:after="0" w:line="236" w:lineRule="exact"/>
        <w:rPr>
          <w:sz w:val="20"/>
          <w:szCs w:val="20"/>
          <w:color w:val="auto"/>
        </w:rPr>
      </w:pPr>
    </w:p>
    <w:p>
      <w:pPr>
        <w:ind w:firstLine="489"/>
        <w:spacing w:after="0" w:line="244" w:lineRule="auto"/>
        <w:rPr>
          <w:sz w:val="20"/>
          <w:szCs w:val="20"/>
          <w:color w:val="auto"/>
        </w:rPr>
      </w:pPr>
      <w:r>
        <w:rPr>
          <w:rFonts w:ascii="Times New Roman" w:cs="Times New Roman" w:eastAsia="Times New Roman" w:hAnsi="Times New Roman"/>
          <w:sz w:val="20"/>
          <w:szCs w:val="20"/>
          <w:color w:val="auto"/>
        </w:rPr>
        <w:t>Many countries outside of the United States maintain rigorous laws governing the privacy and security of personal information. The collection, use, disclosure, transfer, or other processing of personal data, including personal health data, regarding individuals who are located in the EEA, and the processing of personal data that takes place in the EEA, is subject to the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700"/>
          </w:cols>
          <w:pgMar w:left="1080" w:top="1064" w:right="1100" w:bottom="0" w:gutter="0" w:footer="0" w:header="0"/>
          <w:type w:val="continuous"/>
        </w:sectPr>
      </w:pPr>
    </w:p>
    <w:bookmarkStart w:id="57" w:name="page58"/>
    <w:bookmarkEnd w:id="57"/>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 Following the withdrawal of the United Kingdom from the European Union, the UK Data Protection Act 2018 applies to the processing of personal data that takes place in the United Kingdom and includes parallel obligations to those set forth by GDPR.</w:t>
      </w:r>
    </w:p>
    <w:p>
      <w:pPr>
        <w:spacing w:after="0" w:line="20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Additionally, 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European Union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Pharmaceutical Coverage, Pricing and Reimbursement</w:t>
      </w:r>
    </w:p>
    <w:p>
      <w:pPr>
        <w:spacing w:after="0" w:line="24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healthcare programs in the United States such as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204"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auto"/>
        </w:rPr>
        <w:t>In order to secure coverage and reimbursement for any product that might be approved for sale, a company may need to conduct expensive pharmacoeconomic studies in order to demonstrate the medical necessity and cost- effectiveness of the product, in addition to the costs required to obtain FDA or other comparable regulatory approvals. A payor’s decision to provide coverage for a product does not imply that an adequate reimbursement rate will be approved. Third-party reimbursement may not be sufficient to maintain price levels high enough to realize an appropriate return on investment in product development.</w:t>
      </w:r>
    </w:p>
    <w:p>
      <w:pPr>
        <w:spacing w:after="0" w:line="19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Section 1833(t)(6) of the Social Security Act provides for temporary additional payments or “transitional pass-through payments” for certain drugs and biological agents. As originally enacted by the Balanced Budget Refinement Act of 1999, this provision required the Centers for Medicare and Medicaid Services, or CMS, to make additional payments to hospitals for current orphan drugs, as designated under section 526 of the FDCA; current drugs and biological agents and brachytherapy sources used for the treatment of cancer; and current radiopharmaceutical drugs and biological products. Transitional pass-through payments are also provided for certain new drugs, devices and biological agents that were not paid for as a hospital outpatient department service as of December 31, 1996, and whose cost is “not insignificant” in relation to the Outpatient Prospective Payment System, or OPPS, payment for the procedures or services associated with the new drug, device, or biological. Under the statute, transitional pass-through payments can be made for at least two years but not more than three years.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700"/>
          </w:cols>
          <w:pgMar w:left="1080" w:top="1064" w:right="1100" w:bottom="0" w:gutter="0" w:footer="0" w:header="0"/>
          <w:type w:val="continuous"/>
        </w:sectPr>
      </w:pPr>
    </w:p>
    <w:bookmarkStart w:id="58" w:name="page59"/>
    <w:bookmarkEnd w:id="58"/>
    <w:p>
      <w:pPr>
        <w:ind w:firstLine="490"/>
        <w:spacing w:after="0" w:line="242" w:lineRule="auto"/>
        <w:rPr>
          <w:sz w:val="20"/>
          <w:szCs w:val="20"/>
          <w:color w:val="auto"/>
        </w:rPr>
      </w:pPr>
      <w:r>
        <w:rPr>
          <w:rFonts w:ascii="Times New Roman" w:cs="Times New Roman" w:eastAsia="Times New Roman" w:hAnsi="Times New Roman"/>
          <w:sz w:val="20"/>
          <w:szCs w:val="20"/>
          <w:color w:val="auto"/>
        </w:rPr>
        <w:t>J -Codes are part of the Healthcare Common Procedure Coding System (HCPCS) Level II set of procedure codes. These codes are used by CMS and other managed care organizations to identify drugs that ordinarily cannot be self -administered by a patient. Lacrimal ophthalmic inserts containing dexamethasone, such as DEXTENZA, have a specific and permanent J-Code, in case of DEXTENZA J1096, that allows for a simpler and more convenient reimbursement process versus miscellaneous J-codes. Initially, DEXTENZA was payable in ASCs and HOPDs separately from ophthalmic surgery via the transitional pass-through status under the J1096 J-Code. However, the pass-through status for J1096 ended on December 31, 2022. In November 2022, as part of the annual CMS rule-making cycle, the CY 2023 OPPS rule was finalized and provided that DEXTENZA would qualify for separate reimbursement under the criteria established for non-opioid pain management drugs as a surgical supply provision. This provision allowed for continued separate payment of DEXTENZA in the ASC setting for 2023 but did not require separate payment for DEXTENZA in the HOPD setting. In November 2023, the CY 2024 OPPS was finalized and confirmed that DEXTENZA would continue to be separately reimbursed in the ASC setting in 2024. The CY 2025 OPPS rule, which was released in November 2024, allowed for continued separate payment of DEXTENZA in the ASC setting, and it re-established the separate payment of DEXTENZA in the HOPD setting. In November 2025, the CY 2026 OPPS was finalized and confirmed that DEXTENZA would continue to be separately reimbursed in the ASC and HOPD settings in 2026.</w:t>
      </w:r>
    </w:p>
    <w:p>
      <w:pPr>
        <w:spacing w:after="0" w:line="200" w:lineRule="exact"/>
        <w:rPr>
          <w:sz w:val="20"/>
          <w:szCs w:val="20"/>
          <w:color w:val="auto"/>
        </w:rPr>
      </w:pPr>
    </w:p>
    <w:p>
      <w:pPr>
        <w:spacing w:after="0" w:line="243"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CPT codes are part of the HCPCS Level I set of procedure codes which consists of codes that are used to report medical services and procedures furnished by physicians. These codes are also used by CMS and other managed care organizations. Drug-eluting intracanalicular inserts, such as DEXTENZA, have a procedure-specific and permanent Category 1 CPT code, 68841, used to facilitate reimbursement for the administration of inserts into the canaliculus. In 2024, the Medicare Physician Fee Schedule, or MPFS, for the insertion of DEXTENZA into the canaliculus was $31.43 in the ASCs and $37.33 in the physician’s office for unilateral insertion. In November 2024, the CY 2025 MPFS rule was finalized resulting in a marginal decrease in physician payments compared to 2024 to $31.38 in the ASCs and HOPDs and $36.88 in the physician’s office for unilateral insertion, due to a decrease in the conversion factor, or the Conversion Factor, which CMS uses to translate the relative value units, or RVUs, of medical services into fee schedule payment amounts. Although the office based RVU for code 68841 was unchanged, the RVU code in the ASC and HOPD setting increased from 0.96 to 0.97. In October 2025, the CY 2026 MPFS rule was finalized resulting in a decrease in RVUs from 0.97 to 0.82 for insertions conducted in the ASC and HOPD setting, and an increase in RVUs from 1.14 to 1.16 for insertions conducted in the physician’s office for unilateral insertion. The Conversion Factor increased from $32.35 in 2025 to $33.57 in 2026. The net results of the RVU changes and increased Conversion Factor resulted in a marginal decrease in physician payments compared to 2025 to $27.53 in the ASCs and HOPDs and a marginal increase compared to 2025 to $38.94 in the physician’s office for unilateral insertion.</w:t>
      </w:r>
    </w:p>
    <w:p>
      <w:pPr>
        <w:spacing w:after="0" w:line="21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The CY 2025 MPFS final rule also included finalized policies for the quality payment program, including the Merit-based Incentive Payment System, or MIPS. For eligible clinicians, CMS calculates the MIPS final score based on four performance categories, which is then used by CMS to determine the payment adjustment applied to the clinicians’ Medicare Part B claims, with clinicians that incur costs above or below national average spending being penalized or incentivized, respectively. Based on the CY 2025 MPFS final rule, the respective surgeon’s cost for DEXTENZA was included in the MIPS cost performance category for surgeons using DEXTENZA to treat post-surgical ocular inflammation and pain following cataract surgery effective January 1, 2025. The CY 2026 MPFS rule confirmed the inclusion of DEXTENZA in MIPS for 2026.</w:t>
      </w:r>
    </w:p>
    <w:p>
      <w:pPr>
        <w:spacing w:after="0" w:line="203"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700"/>
          </w:cols>
          <w:pgMar w:left="1080" w:top="1064" w:right="11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Healthcare Law and Regulation</w:t>
      </w:r>
    </w:p>
    <w:p>
      <w:pPr>
        <w:spacing w:after="0" w:line="242" w:lineRule="exact"/>
        <w:rPr>
          <w:sz w:val="20"/>
          <w:szCs w:val="20"/>
          <w:color w:val="auto"/>
        </w:rPr>
      </w:pPr>
    </w:p>
    <w:p>
      <w:pPr>
        <w:ind w:right="80" w:firstLine="489"/>
        <w:spacing w:after="0" w:line="250" w:lineRule="auto"/>
        <w:rPr>
          <w:sz w:val="20"/>
          <w:szCs w:val="20"/>
          <w:color w:val="auto"/>
        </w:rPr>
      </w:pPr>
      <w:r>
        <w:rPr>
          <w:rFonts w:ascii="Times New Roman" w:cs="Times New Roman" w:eastAsia="Times New Roman" w:hAnsi="Times New Roman"/>
          <w:sz w:val="20"/>
          <w:szCs w:val="20"/>
          <w:color w:val="auto"/>
        </w:rPr>
        <w:t>Healthcare providers, physicians and third-party payors play a primary role in the recommendation and prescription of drug products that are granted marketing approval. Arrangements with providers, consultants, third-party payors and customers are subject to broadly applicable fraud and abuse and other healthcare laws and regulations. Such restrictions under applicable federal and state healthcare laws and regulations, include, but are not limited to, the following:</w:t>
      </w:r>
    </w:p>
    <w:p>
      <w:pPr>
        <w:spacing w:after="0" w:line="206" w:lineRule="exact"/>
        <w:rPr>
          <w:sz w:val="20"/>
          <w:szCs w:val="20"/>
          <w:color w:val="auto"/>
        </w:rPr>
      </w:pPr>
    </w:p>
    <w:p>
      <w:pPr>
        <w:ind w:left="860" w:hanging="363"/>
        <w:spacing w:after="0" w:line="249"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the federal Anti-Kickback Statute </w:t>
      </w:r>
      <w:r>
        <w:rPr>
          <w:rFonts w:ascii="Times New Roman" w:cs="Times New Roman" w:eastAsia="Times New Roman" w:hAnsi="Times New Roman"/>
          <w:sz w:val="18"/>
          <w:szCs w:val="18"/>
          <w:color w:val="auto"/>
        </w:rPr>
        <w:t>, a broad criminal statute, which</w:t>
      </w:r>
      <w:r>
        <w:rPr>
          <w:rFonts w:ascii="Times New Roman" w:cs="Times New Roman" w:eastAsia="Times New Roman" w:hAnsi="Times New Roman"/>
          <w:sz w:val="20"/>
          <w:szCs w:val="20"/>
          <w:color w:val="auto"/>
        </w:rPr>
        <w:t xml:space="preserve">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11" w:lineRule="exact"/>
        <w:rPr>
          <w:rFonts w:ascii="Arial" w:cs="Arial" w:eastAsia="Arial" w:hAnsi="Arial"/>
          <w:sz w:val="20"/>
          <w:szCs w:val="20"/>
          <w:color w:val="auto"/>
        </w:rPr>
      </w:pPr>
    </w:p>
    <w:p>
      <w:pPr>
        <w:ind w:left="860" w:right="40" w:hanging="363"/>
        <w:spacing w:after="0" w:line="253"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3" w:lineRule="exact"/>
        <w:rPr>
          <w:rFonts w:ascii="Arial" w:cs="Arial" w:eastAsia="Arial" w:hAnsi="Arial"/>
          <w:sz w:val="20"/>
          <w:szCs w:val="20"/>
          <w:color w:val="auto"/>
        </w:rPr>
      </w:pPr>
    </w:p>
    <w:p>
      <w:pPr>
        <w:ind w:left="860" w:right="260" w:hanging="363"/>
        <w:spacing w:after="0" w:line="253"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in addition to privacy protections applicable to healthcare providers and other entities, imposes criminal and civil liability for executing a scheme to defraud any healthcare benefit program or making false statements relating to healthcare matters;</w:t>
      </w:r>
    </w:p>
    <w:p>
      <w:pPr>
        <w:spacing w:after="0" w:line="204" w:lineRule="exact"/>
        <w:rPr>
          <w:rFonts w:ascii="Arial" w:cs="Arial" w:eastAsia="Arial" w:hAnsi="Arial"/>
          <w:sz w:val="20"/>
          <w:szCs w:val="20"/>
          <w:color w:val="auto"/>
        </w:rPr>
      </w:pPr>
    </w:p>
    <w:p>
      <w:pPr>
        <w:ind w:left="860" w:right="400" w:hanging="363"/>
        <w:spacing w:after="0" w:line="253"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including the Final Omnibus Rule published in January 2013, also imposes obligations, including mandatory contractual terms, with respect to safeguarding the privacy, security and transmission of individually identifiable health information;</w:t>
      </w:r>
    </w:p>
    <w:p>
      <w:pPr>
        <w:spacing w:after="0" w:line="203" w:lineRule="exact"/>
        <w:rPr>
          <w:rFonts w:ascii="Arial" w:cs="Arial" w:eastAsia="Arial" w:hAnsi="Arial"/>
          <w:sz w:val="20"/>
          <w:szCs w:val="20"/>
          <w:color w:val="auto"/>
        </w:rPr>
      </w:pPr>
    </w:p>
    <w:p>
      <w:pPr>
        <w:ind w:left="860" w:right="240" w:hanging="363"/>
        <w:spacing w:after="0" w:line="260"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6" w:lineRule="exact"/>
        <w:rPr>
          <w:rFonts w:ascii="Arial" w:cs="Arial" w:eastAsia="Arial" w:hAnsi="Arial"/>
          <w:sz w:val="20"/>
          <w:szCs w:val="20"/>
          <w:color w:val="auto"/>
        </w:rPr>
      </w:pPr>
    </w:p>
    <w:p>
      <w:pPr>
        <w:ind w:left="860" w:right="700" w:hanging="363"/>
        <w:spacing w:after="0" w:line="260"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96" w:lineRule="exact"/>
        <w:rPr>
          <w:rFonts w:ascii="Arial" w:cs="Arial" w:eastAsia="Arial" w:hAnsi="Arial"/>
          <w:sz w:val="20"/>
          <w:szCs w:val="20"/>
          <w:color w:val="auto"/>
        </w:rPr>
      </w:pPr>
    </w:p>
    <w:p>
      <w:pPr>
        <w:ind w:left="860" w:right="20" w:hanging="363"/>
        <w:spacing w:after="0" w:line="248"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transparency requirements under the ACA, known as the federal Physician Payments Sunshine Act, which requires certain manufacturers of covered drugs, devices, biologics and medical supplies for which payment is available under Medicare, Medicaid, or the Children’s Health Insurance Program, among others to collect and report to CMS information related to payments and other transfers of value to physicians, other healthcare providers and teaching hospitals and physician ownership and investment interests held by physicians and their immediate family members; and</w:t>
      </w:r>
    </w:p>
    <w:p>
      <w:pPr>
        <w:spacing w:after="0" w:line="207" w:lineRule="exact"/>
        <w:rPr>
          <w:rFonts w:ascii="Arial" w:cs="Arial" w:eastAsia="Arial" w:hAnsi="Arial"/>
          <w:sz w:val="20"/>
          <w:szCs w:val="20"/>
          <w:color w:val="auto"/>
        </w:rPr>
      </w:pPr>
    </w:p>
    <w:p>
      <w:pPr>
        <w:ind w:left="860" w:right="40" w:hanging="363"/>
        <w:spacing w:after="0" w:line="260" w:lineRule="auto"/>
        <w:tabs>
          <w:tab w:leader="none" w:pos="86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82" w:lineRule="exact"/>
        <w:rPr>
          <w:sz w:val="20"/>
          <w:szCs w:val="20"/>
          <w:color w:val="auto"/>
        </w:rPr>
      </w:pPr>
    </w:p>
    <w:p>
      <w:pPr>
        <w:ind w:right="80" w:firstLine="490"/>
        <w:spacing w:after="0" w:line="250" w:lineRule="auto"/>
        <w:rPr>
          <w:sz w:val="20"/>
          <w:szCs w:val="20"/>
          <w:color w:val="auto"/>
        </w:rPr>
      </w:pPr>
      <w:r>
        <w:rPr>
          <w:rFonts w:ascii="Times New Roman" w:cs="Times New Roman" w:eastAsia="Times New Roman" w:hAnsi="Times New Roman"/>
          <w:sz w:val="20"/>
          <w:szCs w:val="20"/>
          <w:color w:val="auto"/>
        </w:rPr>
        <w:t>Violations of these laws are punishable by criminal and/or civil sanctions, including, in some instances, exclusion from participation in federal and state health care programs, such as Medicare and Medicaid. Ensuring compliance is time consuming and costly. Similar healthcare laws and regulations exist in the European Union and other jurisdictions, including reporting requirements detailing interactions with and payments to healthcare providers and laws governing the privacy and security of personal information.</w:t>
      </w:r>
    </w:p>
    <w:p>
      <w:pPr>
        <w:spacing w:after="0" w:line="192" w:lineRule="exact"/>
        <w:rPr>
          <w:sz w:val="20"/>
          <w:szCs w:val="20"/>
          <w:color w:val="auto"/>
        </w:rPr>
      </w:pPr>
    </w:p>
    <w:p>
      <w:pPr>
        <w:ind w:right="520" w:firstLine="489"/>
        <w:spacing w:after="0" w:line="280" w:lineRule="auto"/>
        <w:rPr>
          <w:sz w:val="20"/>
          <w:szCs w:val="20"/>
          <w:color w:val="auto"/>
        </w:rPr>
      </w:pPr>
      <w:r>
        <w:rPr>
          <w:rFonts w:ascii="Times New Roman" w:cs="Times New Roman" w:eastAsia="Times New Roman" w:hAnsi="Times New Roman"/>
          <w:sz w:val="20"/>
          <w:szCs w:val="20"/>
          <w:color w:val="auto"/>
        </w:rPr>
        <w:t>Some state laws require pharmaceutical companies to comply with the pharmaceutical industry’s voluntary compliance guidelines and the relevant compliance guidance promulgated by the federal government in addition to</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720"/>
          </w:cols>
          <w:pgMar w:left="1080" w:top="1062" w:right="1080" w:bottom="0" w:gutter="0" w:footer="0" w:header="0"/>
          <w:type w:val="continuous"/>
        </w:sectPr>
      </w:pPr>
    </w:p>
    <w:bookmarkStart w:id="60" w:name="page61"/>
    <w:bookmarkEnd w:id="60"/>
    <w:p>
      <w:pPr>
        <w:ind w:right="160"/>
        <w:spacing w:after="0" w:line="253" w:lineRule="auto"/>
        <w:rPr>
          <w:sz w:val="20"/>
          <w:szCs w:val="20"/>
          <w:color w:val="auto"/>
        </w:rPr>
      </w:pPr>
      <w:r>
        <w:rPr>
          <w:rFonts w:ascii="Times New Roman" w:cs="Times New Roman" w:eastAsia="Times New Roman" w:hAnsi="Times New Roman"/>
          <w:sz w:val="20"/>
          <w:szCs w:val="20"/>
          <w:color w:val="auto"/>
        </w:rPr>
        <w:t>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39" w:lineRule="exact"/>
        <w:rPr>
          <w:sz w:val="20"/>
          <w:szCs w:val="20"/>
          <w:color w:val="auto"/>
        </w:rPr>
      </w:pPr>
    </w:p>
    <w:p>
      <w:pPr>
        <w:ind w:right="220" w:firstLine="489"/>
        <w:spacing w:after="0" w:line="259" w:lineRule="auto"/>
        <w:rPr>
          <w:sz w:val="20"/>
          <w:szCs w:val="20"/>
          <w:color w:val="auto"/>
        </w:rPr>
      </w:pPr>
      <w:r>
        <w:rPr>
          <w:rFonts w:ascii="Times New Roman" w:cs="Times New Roman" w:eastAsia="Times New Roman" w:hAnsi="Times New Roman"/>
          <w:sz w:val="20"/>
          <w:szCs w:val="20"/>
          <w:color w:val="auto"/>
        </w:rPr>
        <w:t>A primary trend in the U.S. healthcare industry and elsewhere is cost containment. There have been a number of federal and state proposals during the last few years regarding the pricing of drug and biologic products, limiting coverage and reimbursement for medical products and other changes to the healthcare system in the United States.</w:t>
      </w:r>
    </w:p>
    <w:p>
      <w:pPr>
        <w:spacing w:after="0" w:line="1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March 2010, the United States Congress enacted the Patient Protection and Affordable Care Act, as amended by the Health Care and Education Reconciliation Act of 2010, or collectively the PPACA, which, among other things, includes changes to the coverage and payment for pharmaceutical products under government healthcare programs.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due to subsequent statutory amendments, will remain in effect through the first eleven months of the President’s fiscal year 2032 sequestration order unless additional congressional action is taken, with the exception of a temporary suspension, and later a temporary reduction instituted during the COVID-19 pandemic that expired on July 1, 2022.</w:t>
      </w:r>
    </w:p>
    <w:p>
      <w:pPr>
        <w:spacing w:after="0" w:line="205"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Since enactment of the PPACA,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On June 17, 2021, the U.S. Supreme Court dismissed a judicial challenge to the PPACA brought by several states who argued that, without the individual mandate, the entire PPACA was unconstitutional. The Supreme Court’s dismissal of the lawsuit did not specifically rule on the constitutionality of the ACA.</w:t>
      </w:r>
    </w:p>
    <w:p>
      <w:pPr>
        <w:spacing w:after="0" w:line="201" w:lineRule="exact"/>
        <w:rPr>
          <w:sz w:val="20"/>
          <w:szCs w:val="20"/>
          <w:color w:val="auto"/>
        </w:rPr>
      </w:pPr>
    </w:p>
    <w:p>
      <w:pPr>
        <w:ind w:left="500" w:right="1320"/>
        <w:spacing w:after="0" w:line="490" w:lineRule="auto"/>
        <w:rPr>
          <w:sz w:val="20"/>
          <w:szCs w:val="20"/>
          <w:color w:val="auto"/>
        </w:rPr>
      </w:pPr>
      <w:r>
        <w:rPr>
          <w:rFonts w:ascii="Times New Roman" w:cs="Times New Roman" w:eastAsia="Times New Roman" w:hAnsi="Times New Roman"/>
          <w:sz w:val="20"/>
          <w:szCs w:val="20"/>
          <w:color w:val="auto"/>
        </w:rPr>
        <w:t xml:space="preserve">Litigation and legislation over the PPACA may continue, with unpredictable and uncertain results. </w:t>
      </w:r>
      <w:r>
        <w:rPr>
          <w:rFonts w:ascii="Times New Roman" w:cs="Times New Roman" w:eastAsia="Times New Roman" w:hAnsi="Times New Roman"/>
          <w:sz w:val="20"/>
          <w:szCs w:val="20"/>
          <w:i w:val="1"/>
          <w:iCs w:val="1"/>
          <w:color w:val="auto"/>
        </w:rPr>
        <w:t>Pharmaceutical Prices</w:t>
      </w:r>
    </w:p>
    <w:p>
      <w:pPr>
        <w:ind w:right="160" w:firstLine="490"/>
        <w:spacing w:after="0" w:line="250" w:lineRule="auto"/>
        <w:rPr>
          <w:sz w:val="20"/>
          <w:szCs w:val="20"/>
          <w:color w:val="auto"/>
        </w:rPr>
      </w:pPr>
      <w:r>
        <w:rPr>
          <w:rFonts w:ascii="Times New Roman" w:cs="Times New Roman" w:eastAsia="Times New Roman" w:hAnsi="Times New Roman"/>
          <w:sz w:val="20"/>
          <w:szCs w:val="20"/>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9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in October 2020, HHS and the FDA published a final rule allowing states and other entities to develop a Section 804 Importation Program, or SIP, to import certain prescription drugs from Canada into the United States. Seven states (Colorado, Florida, Maine, New Hampshire, New Mexico, Texas and Vermont) have passed laws allowing for the importation of products from Canada. North Dakota</w:t>
      </w:r>
      <w:r>
        <w:rPr>
          <w:rFonts w:ascii="Arial" w:cs="Arial" w:eastAsia="Arial" w:hAnsi="Arial"/>
          <w:sz w:val="20"/>
          <w:szCs w:val="20"/>
          <w:color w:val="auto"/>
        </w:rPr>
        <w:t> </w:t>
      </w:r>
      <w:r>
        <w:rPr>
          <w:rFonts w:ascii="Times New Roman" w:cs="Times New Roman" w:eastAsia="Times New Roman" w:hAnsi="Times New Roman"/>
          <w:sz w:val="20"/>
          <w:szCs w:val="20"/>
          <w:color w:val="auto"/>
        </w:rPr>
        <w:t>and Virginia</w:t>
      </w:r>
      <w:r>
        <w:rPr>
          <w:rFonts w:ascii="Arial" w:cs="Arial" w:eastAsia="Arial" w:hAnsi="Arial"/>
          <w:sz w:val="20"/>
          <w:szCs w:val="20"/>
          <w:color w:val="auto"/>
        </w:rPr>
        <w:t> </w:t>
      </w:r>
      <w:r>
        <w:rPr>
          <w:rFonts w:ascii="Times New Roman" w:cs="Times New Roman" w:eastAsia="Times New Roman" w:hAnsi="Times New Roman"/>
          <w:sz w:val="20"/>
          <w:szCs w:val="20"/>
          <w:color w:val="auto"/>
        </w:rPr>
        <w:t>have passed legislation establishing workgroups to examine the impact of a state importation program.</w:t>
      </w:r>
      <w:r>
        <w:rPr>
          <w:rFonts w:ascii="Arial" w:cs="Arial" w:eastAsia="Arial" w:hAnsi="Arial"/>
          <w:sz w:val="20"/>
          <w:szCs w:val="20"/>
          <w:color w:val="auto"/>
        </w:rPr>
        <w:t> </w:t>
      </w:r>
      <w:r>
        <w:rPr>
          <w:rFonts w:ascii="Times New Roman" w:cs="Times New Roman" w:eastAsia="Times New Roman" w:hAnsi="Times New Roman"/>
          <w:sz w:val="20"/>
          <w:szCs w:val="20"/>
          <w:color w:val="auto"/>
        </w:rPr>
        <w:t>As of May 2024, five states (Colorado, Florida, Maine, New Hampshire and New Mexico) had submitted Section 804 Importation Program proposals to the FDA. On January 5, 2024,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 On May 21, 2025, the FDA announced that it would offer individual states the opportunity to submit draft proposals for pre-review and meet with the agency to obtain initial feedback from FDA prior to formally submitting their Section 804 importation program (SIP) proposals. The intent of these meetings is to assist states in developing their proposals by further clarifying requirements, enhancing the quality of proposals submitted to the agency and ultimately shortening the review timeline.</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700"/>
          </w:cols>
          <w:pgMar w:left="1080" w:top="1064" w:right="1100" w:bottom="0" w:gutter="0" w:footer="0" w:header="0"/>
          <w:type w:val="continuous"/>
        </w:sectPr>
      </w:pPr>
    </w:p>
    <w:bookmarkStart w:id="61" w:name="page62"/>
    <w:bookmarkEnd w:id="61"/>
    <w:p>
      <w:pPr>
        <w:ind w:right="180" w:firstLine="490"/>
        <w:spacing w:after="0" w:line="248" w:lineRule="auto"/>
        <w:rPr>
          <w:sz w:val="20"/>
          <w:szCs w:val="20"/>
          <w:color w:val="auto"/>
        </w:rPr>
      </w:pPr>
      <w:r>
        <w:rPr>
          <w:rFonts w:ascii="Times New Roman" w:cs="Times New Roman" w:eastAsia="Times New Roman" w:hAnsi="Times New Roman"/>
          <w:sz w:val="20"/>
          <w:szCs w:val="20"/>
          <w:color w:val="auto"/>
        </w:rPr>
        <w:t>More recently, on August 16, 2022, the Inflation Reduction Act of 2022, or IRA, was signed into law by former President Biden. The legislation requires manufacturers of certain drugs to engage in price negotiations with Medicare, with prices that can be negotiated subject to a cap; imposes rebates under Medicare Part B and Medicare Part D to penalize price increases that outpace inflation; and replaces the Part D coverage gap discount program with a new discounting program. The IRA permits the Secretary of the HHS to implement many of these provisions through guidance, as opposed to regulation, for the initial years.</w:t>
      </w:r>
    </w:p>
    <w:p>
      <w:pPr>
        <w:spacing w:after="0" w:line="19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When originally enacted, the IRA explicitly excluded from price negotiation orphan drugs designated for only one rare disease or condition and for which the only active approved indication is for such disease or condition. However, the One Big Beautiful Bill Act signed into law on July 4, 2025 amended the applicable statute to broaden the orphan drug exclusion to include products with more than one orphan designation and more than one approved indication.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B and D whose price increases exceed inflation. The law also capped Medicare beneficiary out-of-pocket drug costs at $4,000 per year in 2024 and, $2,000 a year from 2025 onwards.</w:t>
      </w:r>
    </w:p>
    <w:p>
      <w:pPr>
        <w:spacing w:after="0" w:line="200" w:lineRule="exact"/>
        <w:rPr>
          <w:sz w:val="20"/>
          <w:szCs w:val="20"/>
          <w:color w:val="auto"/>
        </w:rPr>
      </w:pPr>
    </w:p>
    <w:p>
      <w:pPr>
        <w:ind w:right="120" w:firstLine="490"/>
        <w:spacing w:after="0" w:line="248" w:lineRule="auto"/>
        <w:rPr>
          <w:sz w:val="20"/>
          <w:szCs w:val="20"/>
          <w:color w:val="auto"/>
        </w:rPr>
      </w:pPr>
      <w:r>
        <w:rPr>
          <w:rFonts w:ascii="Times New Roman" w:cs="Times New Roman" w:eastAsia="Times New Roman" w:hAnsi="Times New Roman"/>
          <w:sz w:val="20"/>
          <w:szCs w:val="20"/>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became effective January 1, 2026. On January 17, 2025, CMS announced its selection of 15 additional drugs covered by Part D for the second cycle of negotiations, and on November 25, 2025, CMS released negotiated prices for such products that will go into effect beginning January 1, 2027.</w:t>
      </w:r>
    </w:p>
    <w:p>
      <w:pPr>
        <w:spacing w:after="0" w:line="19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While it remains to be seen how the drug pricing provisions imposed by the IRA will affect the broader pharmaceutical industry, several pharmaceutical manufacturers and other industry stakeholders have challenged the law, including through lawsuits brought against the HHS, the Secretary of the HHS, CMS, and the CMS Administrator challenging the constitutionality and administrative implementation of the IRA’s drug price negotiation provisions. This litigation is ongoing and the results, and potential impacts on our business, are uncertain. The current presidential administration has indicated that reducing prescription drug prices will be a focus, with CMS issuing a public statement on January 29, 2025, declaring that lowering the cost of prescription drugs is a top priority of the new administration and CMS is committed to considering opportunities to bring greater pricing transparency. Moreover, President Trump has signed multiple executive orders addressing prescription drug pricing and access, including: on April 15, 2025, outlining several actions the Secretary of the Department of HHS must take to optimize healthcare regulations that will provide access to prescription drugs at lower costs; on May 5, 2025, aiming to promote domestic production of critical medicines; and on May 12, 2025, aiming to establish a “most favored nation” drug pricing policy that would tie U.S. drug prices to the prices paid for drugs in other countries. Since the May 12, 2025 “most favored nation” executive order, the Trump administration has continued to exert pressure on drug manufacturers to implement “most favored nation” pricing, including by suggesting that the administration may impose significant tariffs on pharmaceuticals if such manufacturers do not reach agreements to implement “most favored nation” pricing. Additionally, in November 2025, CMS announced a new voluntary payment initiative called the GENEROUS Model (GENErating cost Reductions for U.S. Medicaid Model) where drug manufacturers may voluntarily offer supplemental rebates to participating state Medicaid programs that are intended to provide such Medicaid programs with a “most favored nation” price for participating manufacturers’ products.</w:t>
      </w:r>
    </w:p>
    <w:p>
      <w:pPr>
        <w:spacing w:after="0" w:line="20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On December 23, 2025, CMS, through its Center for Medicare and Medicaid Innovation, or CMMI, proposed two five-year pilot programs to implement a “reference pricing” model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rules, a manufacturer would owe rebates to Medicare if prices for their drugs exceeded the prices paid by other economically comparable reference countries (with an initial list of 19 reference countries included in the proposed rule). Comments are due on the proposed pilot program rules on or before</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720"/>
          </w:cols>
          <w:pgMar w:left="1080" w:top="1064" w:right="1080" w:bottom="0" w:gutter="0" w:footer="0" w:header="0"/>
          <w:type w:val="continuous"/>
        </w:sectPr>
      </w:pPr>
    </w:p>
    <w:bookmarkStart w:id="62" w:name="page63"/>
    <w:bookmarkEnd w:id="62"/>
    <w:p>
      <w:pPr>
        <w:ind w:right="360"/>
        <w:spacing w:after="0" w:line="280" w:lineRule="auto"/>
        <w:rPr>
          <w:sz w:val="20"/>
          <w:szCs w:val="20"/>
          <w:color w:val="auto"/>
        </w:rPr>
      </w:pPr>
      <w:r>
        <w:rPr>
          <w:rFonts w:ascii="Times New Roman" w:cs="Times New Roman" w:eastAsia="Times New Roman" w:hAnsi="Times New Roman"/>
          <w:sz w:val="20"/>
          <w:szCs w:val="20"/>
          <w:color w:val="auto"/>
        </w:rPr>
        <w:t>February 23, 2026, and the pilot programs are proposed to go into effect beginning October 1, 2026. It remains to be seen how these drug pricing initiatives will affect the broader pharmaceutical industry.</w:t>
      </w:r>
    </w:p>
    <w:p>
      <w:pPr>
        <w:spacing w:after="0" w:line="164" w:lineRule="exact"/>
        <w:rPr>
          <w:sz w:val="20"/>
          <w:szCs w:val="20"/>
          <w:color w:val="auto"/>
        </w:rPr>
      </w:pPr>
    </w:p>
    <w:p>
      <w:pPr>
        <w:ind w:firstLine="489"/>
        <w:spacing w:after="0" w:line="244"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including, but not limited to, information in connection with new product launches that exceed certain levels as identified in the relevant statutes.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198"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In addition, regional healthcare organizations and individual hospitals are increasingly using bidding procedures to determine what pharmaceutical products and which suppliers will be included in their prescription pharmaceutical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2" w:lineRule="exact"/>
        <w:rPr>
          <w:sz w:val="20"/>
          <w:szCs w:val="20"/>
          <w:color w:val="auto"/>
        </w:rPr>
      </w:pPr>
    </w:p>
    <w:p>
      <w:pPr>
        <w:ind w:right="480" w:firstLine="490"/>
        <w:spacing w:after="0" w:line="280" w:lineRule="auto"/>
        <w:rPr>
          <w:sz w:val="20"/>
          <w:szCs w:val="20"/>
          <w:color w:val="auto"/>
        </w:rPr>
      </w:pPr>
      <w:r>
        <w:rPr>
          <w:rFonts w:ascii="Times New Roman" w:cs="Times New Roman" w:eastAsia="Times New Roman" w:hAnsi="Times New Roman"/>
          <w:sz w:val="20"/>
          <w:szCs w:val="20"/>
          <w:color w:val="auto"/>
        </w:rPr>
        <w:t>As of December 31, 2025, we had 325 full-time employees. The following table provides an overview of the distribution of those employees:</w:t>
      </w:r>
    </w:p>
    <w:p>
      <w:pPr>
        <w:spacing w:after="0" w:line="164" w:lineRule="exact"/>
        <w:rPr>
          <w:sz w:val="20"/>
          <w:szCs w:val="20"/>
          <w:color w:val="auto"/>
        </w:rPr>
      </w:pPr>
    </w:p>
    <w:p>
      <w:pPr>
        <w:ind w:left="20"/>
        <w:spacing w:after="0"/>
        <w:tabs>
          <w:tab w:leader="none" w:pos="6940" w:val="left"/>
        </w:tabs>
        <w:rPr>
          <w:sz w:val="20"/>
          <w:szCs w:val="20"/>
          <w:color w:val="auto"/>
        </w:rPr>
      </w:pPr>
      <w:r>
        <w:rPr>
          <w:rFonts w:ascii="Times New Roman" w:cs="Times New Roman" w:eastAsia="Times New Roman" w:hAnsi="Times New Roman"/>
          <w:sz w:val="20"/>
          <w:szCs w:val="20"/>
          <w:color w:val="auto"/>
        </w:rPr>
        <w:t>Department</w:t>
      </w:r>
      <w:r>
        <w:rPr>
          <w:sz w:val="20"/>
          <w:szCs w:val="20"/>
          <w:color w:val="auto"/>
        </w:rPr>
        <w:tab/>
      </w:r>
      <w:r>
        <w:rPr>
          <w:rFonts w:ascii="Times New Roman" w:cs="Times New Roman" w:eastAsia="Times New Roman" w:hAnsi="Times New Roman"/>
          <w:sz w:val="20"/>
          <w:szCs w:val="20"/>
          <w:color w:val="auto"/>
        </w:rPr>
        <w:t>Headcount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-135890</wp:posOffset>
                </wp:positionV>
                <wp:extent cx="616966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96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999pt" to="485.9pt,-10.6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133350</wp:posOffset>
                </wp:positionV>
                <wp:extent cx="616966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96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5pt" to="485.9pt,1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398145</wp:posOffset>
                </wp:positionV>
                <wp:extent cx="61696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96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1.35pt" to="485.9pt,31.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668020</wp:posOffset>
                </wp:positionV>
                <wp:extent cx="616966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96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52.6pt" to="485.9pt,52.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938530</wp:posOffset>
                </wp:positionV>
                <wp:extent cx="616966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96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73.9pt" to="485.9pt,73.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1203960</wp:posOffset>
                </wp:positionV>
                <wp:extent cx="616966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96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94.8pt" to="485.9pt,94.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-139065</wp:posOffset>
                </wp:positionV>
                <wp:extent cx="0" cy="161544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15440"/>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9499pt" to="0.35pt,116.2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3225165</wp:posOffset>
                </wp:positionH>
                <wp:positionV relativeFrom="paragraph">
                  <wp:posOffset>-139065</wp:posOffset>
                </wp:positionV>
                <wp:extent cx="0" cy="16154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15440"/>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95pt,-10.9499pt" to="253.95pt,116.2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6168390</wp:posOffset>
                </wp:positionH>
                <wp:positionV relativeFrom="paragraph">
                  <wp:posOffset>-139065</wp:posOffset>
                </wp:positionV>
                <wp:extent cx="0" cy="16154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154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7pt,-10.9499pt" to="485.7pt,116.25pt" o:allowincell="f" strokecolor="#000000" strokeweight="0.4799pt"/>
            </w:pict>
          </mc:Fallback>
        </mc:AlternateContent>
      </w:r>
    </w:p>
    <w:p>
      <w:pPr>
        <w:spacing w:after="0" w:line="174" w:lineRule="exact"/>
        <w:rPr>
          <w:sz w:val="20"/>
          <w:szCs w:val="20"/>
          <w:color w:val="auto"/>
        </w:rPr>
      </w:pPr>
    </w:p>
    <w:p>
      <w:pPr>
        <w:ind w:left="20"/>
        <w:spacing w:after="0"/>
        <w:tabs>
          <w:tab w:leader="none" w:pos="7220" w:val="left"/>
        </w:tabs>
        <w:rPr>
          <w:sz w:val="20"/>
          <w:szCs w:val="20"/>
          <w:color w:val="auto"/>
        </w:rPr>
      </w:pPr>
      <w:r>
        <w:rPr>
          <w:rFonts w:ascii="Times New Roman" w:cs="Times New Roman" w:eastAsia="Times New Roman" w:hAnsi="Times New Roman"/>
          <w:sz w:val="20"/>
          <w:szCs w:val="20"/>
          <w:color w:val="auto"/>
        </w:rPr>
        <w:t>Research &amp; Development . . . . . . . . . . . . . . . . . . . . . . . . . . . . . .</w:t>
      </w:r>
      <w:r>
        <w:rPr>
          <w:sz w:val="20"/>
          <w:szCs w:val="20"/>
          <w:color w:val="auto"/>
        </w:rPr>
        <w:tab/>
      </w:r>
      <w:r>
        <w:rPr>
          <w:rFonts w:ascii="Times New Roman" w:cs="Times New Roman" w:eastAsia="Times New Roman" w:hAnsi="Times New Roman"/>
          <w:sz w:val="20"/>
          <w:szCs w:val="20"/>
          <w:color w:val="auto"/>
        </w:rPr>
        <w:t>154</w:t>
      </w:r>
    </w:p>
    <w:p>
      <w:pPr>
        <w:spacing w:after="0" w:line="188" w:lineRule="exact"/>
        <w:rPr>
          <w:sz w:val="20"/>
          <w:szCs w:val="20"/>
          <w:color w:val="auto"/>
        </w:rPr>
      </w:pPr>
    </w:p>
    <w:p>
      <w:pPr>
        <w:ind w:left="20"/>
        <w:spacing w:after="0"/>
        <w:tabs>
          <w:tab w:leader="none" w:pos="7280" w:val="left"/>
        </w:tabs>
        <w:rPr>
          <w:sz w:val="20"/>
          <w:szCs w:val="20"/>
          <w:color w:val="auto"/>
        </w:rPr>
      </w:pPr>
      <w:r>
        <w:rPr>
          <w:rFonts w:ascii="Times New Roman" w:cs="Times New Roman" w:eastAsia="Times New Roman" w:hAnsi="Times New Roman"/>
          <w:sz w:val="20"/>
          <w:szCs w:val="20"/>
          <w:color w:val="auto"/>
        </w:rPr>
        <w:t>Sales &amp; Marketing. . . . . . . . . . . . . . . . . . . . . . . . . . . . . . . . . . . .</w:t>
      </w:r>
      <w:r>
        <w:rPr>
          <w:sz w:val="20"/>
          <w:szCs w:val="20"/>
          <w:color w:val="auto"/>
        </w:rPr>
        <w:tab/>
      </w:r>
      <w:r>
        <w:rPr>
          <w:rFonts w:ascii="Times New Roman" w:cs="Times New Roman" w:eastAsia="Times New Roman" w:hAnsi="Times New Roman"/>
          <w:sz w:val="20"/>
          <w:szCs w:val="20"/>
          <w:color w:val="auto"/>
        </w:rPr>
        <w:t>98</w:t>
      </w:r>
    </w:p>
    <w:p>
      <w:pPr>
        <w:spacing w:after="0" w:line="195" w:lineRule="exact"/>
        <w:rPr>
          <w:sz w:val="20"/>
          <w:szCs w:val="20"/>
          <w:color w:val="auto"/>
        </w:rPr>
      </w:pPr>
    </w:p>
    <w:p>
      <w:pPr>
        <w:ind w:left="20"/>
        <w:spacing w:after="0"/>
        <w:tabs>
          <w:tab w:leader="none" w:pos="7280" w:val="left"/>
        </w:tabs>
        <w:rPr>
          <w:sz w:val="20"/>
          <w:szCs w:val="20"/>
          <w:color w:val="auto"/>
        </w:rPr>
      </w:pPr>
      <w:r>
        <w:rPr>
          <w:rFonts w:ascii="Times New Roman" w:cs="Times New Roman" w:eastAsia="Times New Roman" w:hAnsi="Times New Roman"/>
          <w:sz w:val="20"/>
          <w:szCs w:val="20"/>
          <w:color w:val="auto"/>
        </w:rPr>
        <w:t>Manufacturing . . . . . . . . . . . . . . . . . . . . . . . . . . . . . . . . . . . . . . .</w:t>
      </w:r>
      <w:r>
        <w:rPr>
          <w:sz w:val="20"/>
          <w:szCs w:val="20"/>
          <w:color w:val="auto"/>
        </w:rPr>
        <w:tab/>
      </w:r>
      <w:r>
        <w:rPr>
          <w:rFonts w:ascii="Times New Roman" w:cs="Times New Roman" w:eastAsia="Times New Roman" w:hAnsi="Times New Roman"/>
          <w:sz w:val="20"/>
          <w:szCs w:val="20"/>
          <w:color w:val="auto"/>
        </w:rPr>
        <w:t>17</w:t>
      </w:r>
    </w:p>
    <w:p>
      <w:pPr>
        <w:spacing w:after="0" w:line="196" w:lineRule="exact"/>
        <w:rPr>
          <w:sz w:val="20"/>
          <w:szCs w:val="20"/>
          <w:color w:val="auto"/>
        </w:rPr>
      </w:pPr>
    </w:p>
    <w:p>
      <w:pPr>
        <w:ind w:left="20"/>
        <w:spacing w:after="0"/>
        <w:tabs>
          <w:tab w:leader="none" w:pos="7280" w:val="left"/>
        </w:tabs>
        <w:rPr>
          <w:sz w:val="20"/>
          <w:szCs w:val="20"/>
          <w:color w:val="auto"/>
        </w:rPr>
      </w:pPr>
      <w:r>
        <w:rPr>
          <w:rFonts w:ascii="Times New Roman" w:cs="Times New Roman" w:eastAsia="Times New Roman" w:hAnsi="Times New Roman"/>
          <w:sz w:val="20"/>
          <w:szCs w:val="20"/>
          <w:color w:val="auto"/>
        </w:rPr>
        <w:t>General &amp; Administrative.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188" w:lineRule="exact"/>
        <w:rPr>
          <w:sz w:val="20"/>
          <w:szCs w:val="20"/>
          <w:color w:val="auto"/>
        </w:rPr>
      </w:pPr>
    </w:p>
    <w:p>
      <w:pPr>
        <w:ind w:left="20"/>
        <w:spacing w:after="0"/>
        <w:tabs>
          <w:tab w:leader="none" w:pos="7220" w:val="left"/>
        </w:tabs>
        <w:rPr>
          <w:sz w:val="20"/>
          <w:szCs w:val="20"/>
          <w:color w:val="auto"/>
        </w:rPr>
      </w:pPr>
      <w:r>
        <w:rPr>
          <w:rFonts w:ascii="Times New Roman" w:cs="Times New Roman" w:eastAsia="Times New Roman" w:hAnsi="Times New Roman"/>
          <w:sz w:val="20"/>
          <w:szCs w:val="20"/>
          <w:color w:val="auto"/>
        </w:rPr>
        <w:t>Total Employees . . . . . . . . . . . . . . . . . . . . . . . . . . . . . . . . . . . . .</w:t>
      </w:r>
      <w:r>
        <w:rPr>
          <w:sz w:val="20"/>
          <w:szCs w:val="20"/>
          <w:color w:val="auto"/>
        </w:rPr>
        <w:tab/>
      </w:r>
      <w:r>
        <w:rPr>
          <w:rFonts w:ascii="Times New Roman" w:cs="Times New Roman" w:eastAsia="Times New Roman" w:hAnsi="Times New Roman"/>
          <w:sz w:val="20"/>
          <w:szCs w:val="20"/>
          <w:color w:val="auto"/>
        </w:rPr>
        <w:t>325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133985</wp:posOffset>
                </wp:positionV>
                <wp:extent cx="616966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96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55pt" to="485.9pt,10.55pt" o:allowincell="f" strokecolor="#000000" strokeweight="0.48pt"/>
            </w:pict>
          </mc:Fallback>
        </mc:AlternateContent>
      </w:r>
    </w:p>
    <w:p>
      <w:pPr>
        <w:spacing w:after="0" w:line="200" w:lineRule="exact"/>
        <w:rPr>
          <w:sz w:val="20"/>
          <w:szCs w:val="20"/>
          <w:color w:val="auto"/>
        </w:rPr>
      </w:pPr>
    </w:p>
    <w:p>
      <w:pPr>
        <w:spacing w:after="0" w:line="205" w:lineRule="exact"/>
        <w:rPr>
          <w:sz w:val="20"/>
          <w:szCs w:val="20"/>
          <w:color w:val="auto"/>
        </w:rPr>
      </w:pPr>
    </w:p>
    <w:p>
      <w:pPr>
        <w:ind w:right="60" w:firstLine="489"/>
        <w:spacing w:after="0" w:line="250" w:lineRule="auto"/>
        <w:rPr>
          <w:sz w:val="20"/>
          <w:szCs w:val="20"/>
          <w:color w:val="auto"/>
        </w:rPr>
      </w:pPr>
      <w:r>
        <w:rPr>
          <w:rFonts w:ascii="Times New Roman" w:cs="Times New Roman" w:eastAsia="Times New Roman" w:hAnsi="Times New Roman"/>
          <w:sz w:val="20"/>
          <w:szCs w:val="20"/>
          <w:color w:val="auto"/>
        </w:rPr>
        <w:t>The development, attraction and retention of employees is a critical success factor for us for the execution of our business strategy and succession planning. To support the advancement of our employees, we offer training and development programs encouraging advancement from within and continue to fill our team with strong and experienced management talent. We leverage both formal and informal programs to identify, foster, and retain top talent at both the corporate and operating unit level.</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We provide employee wages and benefits that we believe are competitive and consistent with the employee</w:t>
      </w:r>
    </w:p>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positions, skill levels, experience, knowledge and geographic location. None of our employees are represented by labor unions or covered by collective bargaining agreements. We value the health, safety and wellbeing of our employees and their families, and we consider our relationship with our employees to be good.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Corporate Information</w:t>
      </w:r>
    </w:p>
    <w:p>
      <w:pPr>
        <w:spacing w:after="0" w:line="242" w:lineRule="exact"/>
        <w:rPr>
          <w:sz w:val="20"/>
          <w:szCs w:val="20"/>
          <w:color w:val="auto"/>
        </w:rPr>
      </w:pPr>
    </w:p>
    <w:p>
      <w:pPr>
        <w:ind w:right="40" w:firstLine="489"/>
        <w:spacing w:after="0" w:line="250"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in 2006. Our principal executive offices are located at 15 Crosby Drive, Bedford, MA 01730, or 15 Crosby Drive, and our telephone number is (781) 357-4000. Our research and development operations and our manufacturing for AXPAXLI are located at 15 Crosby Drive. Our manufacturing for DEXTENZA is located at 36 Crosby Drive, Suite 101, Bedford, MA 01730. Our website address is www.ocutx.com.</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680"/>
          </w:cols>
          <w:pgMar w:left="1080" w:top="1064" w:right="112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make available free of charge through our website our annual report on Form 10-K, quarterly reports on</w:t>
      </w:r>
    </w:p>
    <w:p>
      <w:pPr>
        <w:spacing w:after="0"/>
        <w:rPr>
          <w:sz w:val="20"/>
          <w:szCs w:val="20"/>
          <w:color w:val="auto"/>
        </w:rPr>
      </w:pPr>
      <w:r>
        <w:rPr>
          <w:rFonts w:ascii="Times New Roman" w:cs="Times New Roman" w:eastAsia="Times New Roman" w:hAnsi="Times New Roman"/>
          <w:sz w:val="20"/>
          <w:szCs w:val="20"/>
          <w:color w:val="auto"/>
        </w:rPr>
        <w:t>Form 10-Q, current reports on Form 8-K and amendments to those reports filed or furnished pursuant to</w:t>
      </w:r>
    </w:p>
    <w:p>
      <w:pPr>
        <w:spacing w:after="0"/>
        <w:rPr>
          <w:sz w:val="20"/>
          <w:szCs w:val="20"/>
          <w:color w:val="auto"/>
        </w:rPr>
      </w:pPr>
      <w:r>
        <w:rPr>
          <w:rFonts w:ascii="Times New Roman" w:cs="Times New Roman" w:eastAsia="Times New Roman" w:hAnsi="Times New Roman"/>
          <w:sz w:val="20"/>
          <w:szCs w:val="20"/>
          <w:color w:val="auto"/>
        </w:rPr>
        <w:t>Sections 13(a) and 15(d) of the Securities Exchange Act of 1934, as amended, or the Exchange Act. We make these</w:t>
      </w:r>
    </w:p>
    <w:p>
      <w:pPr>
        <w:spacing w:after="0"/>
        <w:rPr>
          <w:sz w:val="20"/>
          <w:szCs w:val="20"/>
          <w:color w:val="auto"/>
        </w:rPr>
      </w:pPr>
      <w:r>
        <w:rPr>
          <w:rFonts w:ascii="Times New Roman" w:cs="Times New Roman" w:eastAsia="Times New Roman" w:hAnsi="Times New Roman"/>
          <w:sz w:val="20"/>
          <w:szCs w:val="20"/>
          <w:color w:val="auto"/>
        </w:rPr>
        <w:t>reports available through our website as soon as reasonably practicable after we electronically file such reports with, or</w:t>
      </w:r>
    </w:p>
    <w:p>
      <w:pPr>
        <w:spacing w:after="0"/>
        <w:rPr>
          <w:sz w:val="20"/>
          <w:szCs w:val="20"/>
          <w:color w:val="auto"/>
        </w:rPr>
      </w:pPr>
      <w:r>
        <w:rPr>
          <w:rFonts w:ascii="Times New Roman" w:cs="Times New Roman" w:eastAsia="Times New Roman" w:hAnsi="Times New Roman"/>
          <w:sz w:val="20"/>
          <w:szCs w:val="20"/>
          <w:color w:val="auto"/>
        </w:rPr>
        <w:t>furnish such reports to, the SEC. We also make available, free of charge on our website, the reports filed with the SEC</w:t>
      </w:r>
    </w:p>
    <w:p>
      <w:pPr>
        <w:spacing w:after="0"/>
        <w:rPr>
          <w:sz w:val="20"/>
          <w:szCs w:val="20"/>
          <w:color w:val="auto"/>
        </w:rPr>
      </w:pPr>
      <w:r>
        <w:rPr>
          <w:rFonts w:ascii="Times New Roman" w:cs="Times New Roman" w:eastAsia="Times New Roman" w:hAnsi="Times New Roman"/>
          <w:sz w:val="20"/>
          <w:szCs w:val="20"/>
          <w:color w:val="auto"/>
        </w:rPr>
        <w:t>by our executive officers, directors and 10% stockholders pursuant to Section 16 under the Exchange Act as soon as</w:t>
      </w:r>
    </w:p>
    <w:p>
      <w:pPr>
        <w:spacing w:after="0"/>
        <w:rPr>
          <w:sz w:val="20"/>
          <w:szCs w:val="20"/>
          <w:color w:val="auto"/>
        </w:rPr>
      </w:pPr>
      <w:r>
        <w:rPr>
          <w:rFonts w:ascii="Times New Roman" w:cs="Times New Roman" w:eastAsia="Times New Roman" w:hAnsi="Times New Roman"/>
          <w:sz w:val="20"/>
          <w:szCs w:val="20"/>
          <w:color w:val="auto"/>
        </w:rPr>
        <w:t>reasonably practicable after copies of those filings are provided to us by those persons. The information contained on, or</w:t>
      </w:r>
    </w:p>
    <w:p>
      <w:pPr>
        <w:spacing w:after="0"/>
        <w:rPr>
          <w:sz w:val="20"/>
          <w:szCs w:val="20"/>
          <w:color w:val="auto"/>
        </w:rPr>
      </w:pPr>
      <w:r>
        <w:rPr>
          <w:rFonts w:ascii="Times New Roman" w:cs="Times New Roman" w:eastAsia="Times New Roman" w:hAnsi="Times New Roman"/>
          <w:sz w:val="20"/>
          <w:szCs w:val="20"/>
          <w:color w:val="auto"/>
        </w:rPr>
        <w:t>that can be access through, our website is not a part of or incorporated by reference in this Annual Report on Form 10-K.</w:t>
      </w:r>
    </w:p>
    <w:p>
      <w:pPr>
        <w:spacing w:after="0" w:line="22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4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The following risk factors and other information included in this Annual Report on Form 10-K, including under the heading “Summary of Risk Factors” in this Annual Report, should be carefully considered. The risks and uncertainties described below are not the only ones we face. Additional risks and uncertainties not presently known to us or that we presently deem less significant may also impair our business operations. Please see the section of this Annual Report on Form 10-K captioned “Forward-Looking Statements”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Additional Capital</w:t>
      </w:r>
    </w:p>
    <w:p>
      <w:pPr>
        <w:spacing w:after="0" w:line="24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a history of incurring significant losses. We expect to incur losses over the next several years and may never achieve or maintain profitability.</w:t>
      </w:r>
    </w:p>
    <w:p>
      <w:pPr>
        <w:spacing w:after="0" w:line="165"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We have a history of incurring significant losses. Our net losses were $ 265.9 million and $193.5 million for the years ended December 31, 2025 and 2024, respectively. As of December 31, 2025, we had an accumulated deficit of $1,157.0 million. We have financed our operations primarily through private placements of our preferred stock, public offerings and private placements of our common stock and pre-funded warrants to purchase our common stock, borrowings under credit facilities, private placements of convertible notes, and sales of our products. We have devoted substantially all of our financial resources and efforts to research and development, including preclinical studies and clinical trials for our product candidates, including AXPAXLI and to the commercialization of DEXTENZA. Although we expect to continue to generate revenue from sales of DEXTENZA, we expect to continue to incur significant expenses and operating losses over the next several years. Our net losses may fluctuate significantly from quarter to quarter and year to year.</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anticipate we will incur substantial expenses if and as we:</w:t>
      </w:r>
    </w:p>
    <w:p>
      <w:pPr>
        <w:spacing w:after="0" w:line="254" w:lineRule="exact"/>
        <w:rPr>
          <w:sz w:val="20"/>
          <w:szCs w:val="20"/>
          <w:color w:val="auto"/>
        </w:rPr>
      </w:pPr>
    </w:p>
    <w:p>
      <w:pPr>
        <w:ind w:left="860" w:right="80" w:hanging="363"/>
        <w:spacing w:after="0" w:line="253" w:lineRule="auto"/>
        <w:tabs>
          <w:tab w:leader="none" w:pos="86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ongoing registrational programs, including the SOL registrational program of AXPAXLI for the treatment of wet age-related macular degeneration, or wet AMD, and the HELIOS registrational program of AXPAXLI for the treatment of diabetic retinal disease, including non-proliferative diabetic retinopathy, or NPDR;</w:t>
      </w:r>
    </w:p>
    <w:p>
      <w:pPr>
        <w:spacing w:after="0" w:line="204" w:lineRule="exact"/>
        <w:rPr>
          <w:rFonts w:ascii="Arial" w:cs="Arial" w:eastAsia="Arial" w:hAnsi="Arial"/>
          <w:sz w:val="20"/>
          <w:szCs w:val="20"/>
          <w:color w:val="auto"/>
        </w:rPr>
      </w:pPr>
    </w:p>
    <w:p>
      <w:pPr>
        <w:ind w:left="860" w:hanging="363"/>
        <w:spacing w:after="0"/>
        <w:tabs>
          <w:tab w:leader="none" w:pos="86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initiate our planned SOL-X trial, our long-term extension study of AXPAXLI for the treatment of wet AMD;</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any additional clinical trials we might determine in the future to conduct for our product candidates;</w:t>
      </w:r>
    </w:p>
    <w:p>
      <w:pPr>
        <w:spacing w:after="0" w:line="252" w:lineRule="exact"/>
        <w:rPr>
          <w:rFonts w:ascii="Arial" w:cs="Arial" w:eastAsia="Arial" w:hAnsi="Arial"/>
          <w:sz w:val="20"/>
          <w:szCs w:val="20"/>
          <w:color w:val="auto"/>
        </w:rPr>
      </w:pPr>
    </w:p>
    <w:p>
      <w:pPr>
        <w:ind w:left="860" w:right="160" w:hanging="363"/>
        <w:spacing w:after="0" w:line="253" w:lineRule="auto"/>
        <w:tabs>
          <w:tab w:leader="none" w:pos="86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scale up our manufacturing processes and capabilities to support sales of commercial products, clinical trials of our product candidates, including AXPAXLI, and commercialization of any of our product candidates for which we obtain marketing approval, and expand our facilities to accommodate this scale up and any corresponding growth in personnel;</w:t>
      </w:r>
    </w:p>
    <w:p>
      <w:pPr>
        <w:spacing w:after="0" w:line="204" w:lineRule="exact"/>
        <w:rPr>
          <w:rFonts w:ascii="Arial" w:cs="Arial" w:eastAsia="Arial" w:hAnsi="Arial"/>
          <w:sz w:val="20"/>
          <w:szCs w:val="20"/>
          <w:color w:val="auto"/>
        </w:rPr>
      </w:pPr>
    </w:p>
    <w:p>
      <w:pPr>
        <w:ind w:left="860" w:right="360" w:hanging="363"/>
        <w:spacing w:after="0" w:line="279" w:lineRule="auto"/>
        <w:tabs>
          <w:tab w:leader="none" w:pos="86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scale up our sales, marketing and distribution capabilities to prepare for commercialization of any product candidates for which we intend to obtain marketing approval;</w:t>
      </w:r>
    </w:p>
    <w:p>
      <w:pPr>
        <w:sectPr>
          <w:pgSz w:w="11880" w:h="15480" w:orient="portrait"/>
          <w:cols w:equalWidth="0" w:num="1">
            <w:col w:w="9700"/>
          </w:cols>
          <w:pgMar w:left="1080" w:top="1062"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700"/>
          </w:cols>
          <w:pgMar w:left="1080" w:top="1062" w:right="1100" w:bottom="0" w:gutter="0" w:footer="0" w:header="0"/>
          <w:type w:val="continuous"/>
        </w:sectPr>
      </w:pPr>
    </w:p>
    <w:bookmarkStart w:id="64" w:name="page65"/>
    <w:bookmarkEnd w:id="64"/>
    <w:p>
      <w:pPr>
        <w:ind w:left="860" w:right="680" w:hanging="363"/>
        <w:spacing w:after="0" w:line="279" w:lineRule="auto"/>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monitor subjects according to the applicable clinical trial protocols, or prepare submission documentation such as clinical study reports, for our clinical trials that have been completed;</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seek marketing approvals for any of our product candidates that successfully complete clinical development;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commercialize DEXTENZA in the United States;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253" w:lineRule="exact"/>
        <w:rPr>
          <w:rFonts w:ascii="Arial" w:cs="Arial" w:eastAsia="Arial" w:hAnsi="Arial"/>
          <w:sz w:val="20"/>
          <w:szCs w:val="20"/>
          <w:color w:val="auto"/>
        </w:rPr>
      </w:pPr>
    </w:p>
    <w:p>
      <w:pPr>
        <w:ind w:left="860" w:right="160" w:hanging="363"/>
        <w:spacing w:after="0" w:line="307" w:lineRule="auto"/>
        <w:tabs>
          <w:tab w:leader="none" w:pos="86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expand our operational, quality assurance, financial, administrative and management systems and personnel, including personnel to support our clinical development, manufacturing and commercialization efforts;</w:t>
      </w:r>
    </w:p>
    <w:p>
      <w:pPr>
        <w:spacing w:after="0" w:line="154" w:lineRule="exact"/>
        <w:rPr>
          <w:rFonts w:ascii="Arial" w:cs="Arial" w:eastAsia="Arial" w:hAnsi="Arial"/>
          <w:sz w:val="19"/>
          <w:szCs w:val="19"/>
          <w:color w:val="auto"/>
        </w:rPr>
      </w:pPr>
    </w:p>
    <w:p>
      <w:pPr>
        <w:ind w:left="860" w:hanging="363"/>
        <w:spacing w:after="0"/>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defend ourselves against legal proceedings, if any;</w:t>
      </w:r>
    </w:p>
    <w:p>
      <w:pPr>
        <w:spacing w:after="0" w:line="252" w:lineRule="exact"/>
        <w:rPr>
          <w:rFonts w:ascii="Arial" w:cs="Arial" w:eastAsia="Arial" w:hAnsi="Arial"/>
          <w:sz w:val="20"/>
          <w:szCs w:val="20"/>
          <w:color w:val="auto"/>
        </w:rPr>
      </w:pPr>
    </w:p>
    <w:p>
      <w:pPr>
        <w:ind w:left="860" w:right="920" w:hanging="363"/>
        <w:spacing w:after="0" w:line="279" w:lineRule="auto"/>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make investments to improve our defenses against cybersecurity threats and establish and maintain cybersecurity insurance;</w:t>
      </w:r>
    </w:p>
    <w:p>
      <w:pPr>
        <w:spacing w:after="0" w:line="179" w:lineRule="exact"/>
        <w:rPr>
          <w:rFonts w:ascii="Arial" w:cs="Arial" w:eastAsia="Arial" w:hAnsi="Arial"/>
          <w:sz w:val="20"/>
          <w:szCs w:val="20"/>
          <w:color w:val="auto"/>
        </w:rPr>
      </w:pPr>
    </w:p>
    <w:p>
      <w:pPr>
        <w:ind w:left="860" w:right="720" w:hanging="363"/>
        <w:spacing w:after="0" w:line="279" w:lineRule="auto"/>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increase our product liability and clinical trial insurance coverage as we expand our clinical trials and commercialization efforts; and</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operate as a public company.</w:t>
      </w:r>
    </w:p>
    <w:p>
      <w:pPr>
        <w:spacing w:after="0" w:line="239" w:lineRule="exact"/>
        <w:rPr>
          <w:sz w:val="20"/>
          <w:szCs w:val="20"/>
          <w:color w:val="auto"/>
        </w:rPr>
      </w:pPr>
    </w:p>
    <w:p>
      <w:pPr>
        <w:ind w:right="420" w:firstLine="490"/>
        <w:spacing w:after="0" w:line="25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pharmaceutical product development, we are unable to accurately predict the timing or amount of increased expenses or when, or if, we will be able to achieve profitability. Our development expenses will increase if:</w:t>
      </w:r>
    </w:p>
    <w:p>
      <w:pPr>
        <w:spacing w:after="0" w:line="200" w:lineRule="exact"/>
        <w:rPr>
          <w:sz w:val="20"/>
          <w:szCs w:val="20"/>
          <w:color w:val="auto"/>
        </w:rPr>
      </w:pPr>
    </w:p>
    <w:p>
      <w:pPr>
        <w:ind w:left="860" w:right="420" w:hanging="363"/>
        <w:spacing w:after="0" w:line="279" w:lineRule="auto"/>
        <w:tabs>
          <w:tab w:leader="none" w:pos="86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are required by the U.S. Food and Drug Administration, or FDA, or the other regulatory authorities to perform trials or studies in addition to those currently expected;</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any delays in receipt of regulatory clearance to begin our planned clinical programs;</w:t>
      </w:r>
    </w:p>
    <w:p>
      <w:pPr>
        <w:spacing w:after="0" w:line="252" w:lineRule="exact"/>
        <w:rPr>
          <w:rFonts w:ascii="Arial" w:cs="Arial" w:eastAsia="Arial" w:hAnsi="Arial"/>
          <w:sz w:val="20"/>
          <w:szCs w:val="20"/>
          <w:color w:val="auto"/>
        </w:rPr>
      </w:pPr>
    </w:p>
    <w:p>
      <w:pPr>
        <w:ind w:left="860" w:right="420" w:hanging="363"/>
        <w:spacing w:after="0" w:line="279" w:lineRule="auto"/>
        <w:tabs>
          <w:tab w:leader="none" w:pos="86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any delays in enrollment of subjects in or completion of our clinical trials or the development of AXPAXLI or our other product candidates; or</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any delays in receiving marketing approval of AXPAXLI or any of our other product candidates.</w:t>
      </w:r>
    </w:p>
    <w:p>
      <w:pPr>
        <w:spacing w:after="0" w:line="238" w:lineRule="exact"/>
        <w:rPr>
          <w:sz w:val="20"/>
          <w:szCs w:val="20"/>
          <w:color w:val="auto"/>
        </w:rPr>
      </w:pPr>
    </w:p>
    <w:p>
      <w:pPr>
        <w:jc w:val="both"/>
        <w:ind w:firstLine="489"/>
        <w:spacing w:after="0" w:line="260" w:lineRule="auto"/>
        <w:rPr>
          <w:sz w:val="20"/>
          <w:szCs w:val="20"/>
          <w:color w:val="auto"/>
        </w:rPr>
      </w:pPr>
      <w:r>
        <w:rPr>
          <w:rFonts w:ascii="Times New Roman" w:cs="Times New Roman" w:eastAsia="Times New Roman" w:hAnsi="Times New Roman"/>
          <w:sz w:val="20"/>
          <w:szCs w:val="20"/>
          <w:color w:val="auto"/>
        </w:rPr>
        <w:t>For us to become and remain profitable, we will need both to continue to successfully commercialize DEXTENZA and to successfully develop and commercialize other products with significant market potential such as AXPAXLI. This will require us or our current or future collaborators to be successful in a range of challenging activities, including:</w:t>
      </w:r>
    </w:p>
    <w:p>
      <w:pPr>
        <w:spacing w:after="0" w:line="198" w:lineRule="exact"/>
        <w:rPr>
          <w:sz w:val="20"/>
          <w:szCs w:val="20"/>
          <w:color w:val="auto"/>
        </w:rPr>
      </w:pPr>
    </w:p>
    <w:p>
      <w:pPr>
        <w:ind w:left="860" w:hanging="363"/>
        <w:spacing w:after="0"/>
        <w:tabs>
          <w:tab w:leader="none" w:pos="8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completing clinical development of our product candidates, including AXPAXLI;</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marketing approval for these product candidates;</w:t>
      </w:r>
    </w:p>
    <w:p>
      <w:pPr>
        <w:spacing w:after="0" w:line="252" w:lineRule="exact"/>
        <w:rPr>
          <w:rFonts w:ascii="Arial" w:cs="Arial" w:eastAsia="Arial" w:hAnsi="Arial"/>
          <w:sz w:val="20"/>
          <w:szCs w:val="20"/>
          <w:color w:val="auto"/>
        </w:rPr>
      </w:pPr>
    </w:p>
    <w:p>
      <w:pPr>
        <w:ind w:left="860" w:right="860" w:hanging="363"/>
        <w:spacing w:after="0" w:line="279" w:lineRule="auto"/>
        <w:tabs>
          <w:tab w:leader="none" w:pos="8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continuing to commercialize DEXTENZA in the United States, including by further developing our manufacturing, marketing, sales force, and distribution capabilities;</w:t>
      </w:r>
    </w:p>
    <w:p>
      <w:pPr>
        <w:spacing w:after="0" w:line="179" w:lineRule="exact"/>
        <w:rPr>
          <w:rFonts w:ascii="Arial" w:cs="Arial" w:eastAsia="Arial" w:hAnsi="Arial"/>
          <w:sz w:val="20"/>
          <w:szCs w:val="20"/>
          <w:color w:val="auto"/>
        </w:rPr>
      </w:pPr>
    </w:p>
    <w:p>
      <w:pPr>
        <w:ind w:left="860" w:right="760" w:hanging="363"/>
        <w:spacing w:after="0" w:line="279" w:lineRule="auto"/>
        <w:tabs>
          <w:tab w:leader="none" w:pos="8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marketing, selling and distributing any other products for which we obtain marketing approval;</w:t>
      </w:r>
    </w:p>
    <w:p>
      <w:pPr>
        <w:spacing w:after="0" w:line="178" w:lineRule="exact"/>
        <w:rPr>
          <w:rFonts w:ascii="Arial" w:cs="Arial" w:eastAsia="Arial" w:hAnsi="Arial"/>
          <w:sz w:val="20"/>
          <w:szCs w:val="20"/>
          <w:color w:val="auto"/>
        </w:rPr>
      </w:pPr>
    </w:p>
    <w:p>
      <w:pPr>
        <w:ind w:left="860" w:right="160" w:hanging="363"/>
        <w:spacing w:after="0" w:line="260" w:lineRule="auto"/>
        <w:tabs>
          <w:tab w:leader="none" w:pos="8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achieving an adequate level of market acceptance of and obtaining and maintaining coverage and adequate reimbursement from Centers for Medicare and Medicaid Services, or CMS, private insurers, and other third-party payors for our products; and</w:t>
      </w:r>
    </w:p>
    <w:p>
      <w:pPr>
        <w:spacing w:after="0" w:line="196" w:lineRule="exact"/>
        <w:rPr>
          <w:rFonts w:ascii="Arial" w:cs="Arial" w:eastAsia="Arial" w:hAnsi="Arial"/>
          <w:sz w:val="20"/>
          <w:szCs w:val="20"/>
          <w:color w:val="auto"/>
        </w:rPr>
      </w:pPr>
    </w:p>
    <w:p>
      <w:pPr>
        <w:ind w:left="860" w:hanging="363"/>
        <w:spacing w:after="0"/>
        <w:tabs>
          <w:tab w:leader="none" w:pos="8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protecting our rights to our intellectual property portfolio.</w:t>
      </w:r>
    </w:p>
    <w:p>
      <w:pPr>
        <w:sectPr>
          <w:pgSz w:w="11880" w:h="15480" w:orient="portrait"/>
          <w:cols w:equalWidth="0" w:num="1">
            <w:col w:w="9700"/>
          </w:cols>
          <w:pgMar w:left="1080" w:top="107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700"/>
          </w:cols>
          <w:pgMar w:left="1080" w:top="1079" w:right="1100" w:bottom="0" w:gutter="0" w:footer="0" w:header="0"/>
          <w:type w:val="continuous"/>
        </w:sectPr>
      </w:pPr>
    </w:p>
    <w:bookmarkStart w:id="65" w:name="page66"/>
    <w:bookmarkEnd w:id="65"/>
    <w:p>
      <w:pPr>
        <w:ind w:right="40" w:firstLine="489"/>
        <w:spacing w:after="0" w:line="248" w:lineRule="auto"/>
        <w:rPr>
          <w:sz w:val="20"/>
          <w:szCs w:val="20"/>
          <w:color w:val="auto"/>
        </w:rPr>
      </w:pPr>
      <w:r>
        <w:rPr>
          <w:rFonts w:ascii="Times New Roman" w:cs="Times New Roman" w:eastAsia="Times New Roman" w:hAnsi="Times New Roman"/>
          <w:sz w:val="20"/>
          <w:szCs w:val="20"/>
          <w:color w:val="auto"/>
        </w:rPr>
        <w:t>Even if we succeed in our commercialization efforts, we may never generate revenue that is sufficient to achieve profitability. We do not anticipate that revenue from sales of DEXTENZA for the treatment of ocular inflammation and pain following ophthalmic surgery and ocular itching associated with allergic conjunctivitis will be sufficient for us to become profitable for several years, if ever. Even if we successfully complete development and obtain regulatory approval for AXPAXLI, we do not know whether revenues from AXPAXLI will be sufficient for us to become profitable for several years, if ever.</w:t>
      </w:r>
    </w:p>
    <w:p>
      <w:pPr>
        <w:spacing w:after="0" w:line="194" w:lineRule="exact"/>
        <w:rPr>
          <w:sz w:val="20"/>
          <w:szCs w:val="20"/>
          <w:color w:val="auto"/>
        </w:rPr>
      </w:pPr>
    </w:p>
    <w:p>
      <w:pPr>
        <w:ind w:right="40" w:firstLine="489"/>
        <w:spacing w:after="0" w:line="250" w:lineRule="auto"/>
        <w:rPr>
          <w:sz w:val="20"/>
          <w:szCs w:val="20"/>
          <w:color w:val="auto"/>
        </w:rPr>
      </w:pPr>
      <w:r>
        <w:rPr>
          <w:rFonts w:ascii="Times New Roman" w:cs="Times New Roman" w:eastAsia="Times New Roman" w:hAnsi="Times New Roman"/>
          <w:sz w:val="20"/>
          <w:szCs w:val="20"/>
          <w:color w:val="auto"/>
        </w:rPr>
        <w:t>Even if we do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diversify our product offerings or even continue our operations. A decline in the value of our company could also cause our stockholders to lose all or part of their investment.</w:t>
      </w:r>
    </w:p>
    <w:p>
      <w:pPr>
        <w:spacing w:after="0" w:line="1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Depending on the outcome of our clinical programs, we will likely need additional funding to support future working capital needs and/or expansion of our operating plan. If we are unable to raise capital when needed or on attractive terms, we could be forced to delay, reduce or eliminate our research and development programs or commercialization efforts.</w:t>
      </w:r>
    </w:p>
    <w:p>
      <w:pPr>
        <w:spacing w:after="0" w:line="19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expect to devote substantial financial resources to our ongoing and planned activities, particularly if and as we advance our product candidate AXPAXLI for the treatment of wet AMD and for the treatment of diabetic retinal disease through clinical development and continue to commercialize DEXTENZA. We expect to devote substantial financial resources as we conduct late-stage clinical trials for our product candidates, including the SOL and the HELIOS registrational programs and the SOL-X trial, seek marketing approval for any such product candidate for which we obtain favorable pivotal clinical results, build inventory of such product candidates in preparation for potential launch and ultimately commercialize any products for which we receive marketing approval. In addition, we may, in the future, devote significant financial resources to conduct research and development of our other product candidates. Accordingly, we will likely need to obtain additional funding to fully support our continuing and planned operations. If we are unable to raise capital when needed or on attractive terms, we could be forced to delay, reduce or eliminate our research and development programs or commercialization efforts.</w:t>
      </w:r>
    </w:p>
    <w:p>
      <w:pPr>
        <w:spacing w:after="0" w:line="19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As of December 31, 2025, we had cash and cash equivalents of $737.1 million, and outstanding debt with a principal amount of $82.5 million under a credit and security agreement, or the Barings Credit Agreement, with Barings Finance LLC, or Barings, as administrative agent, and the lenders party thereto, or the Barings Credit Facility. Based on our current operating plan, which includes estimates of anticipated cash inflows from DEXTENZA product sales and cash outflows from operating expenses and capital expenditures and reflects our observance of the minimum liquidity covenant of $20.0 million under the Barings Credit Agreement, we believe that our existing cash and cash equivalents as of December 31, 2025 will enable us to fund our planned operating expenses, debt service obligations and capital expenditure requirements into 2028. Although we believe our current and available cash resources are sufficient to get through potential approval of AXPAXLI for the treatment of wet AMD by the FDA, additional funding will likely be required to support the commercialization of AXPAXLI, if approved. These estimates are subject to various assumptions, including assumptions as to the revenues and expenses associated with the commercialization of DEXTENZA, the pace of our research and clinical development programs, the timing of commencement of dosing and enrollment of our clinical trials, the progress of our manufacturing validation and scale-up and other aspects of our business. We have based our estimates on assumptions that may prove to be wrong, and we could use our capital resources sooner than we currently expect. Our future capital requirements will depend on many factors, including:</w:t>
      </w:r>
    </w:p>
    <w:p>
      <w:pPr>
        <w:spacing w:after="0" w:line="212" w:lineRule="exact"/>
        <w:rPr>
          <w:sz w:val="20"/>
          <w:szCs w:val="20"/>
          <w:color w:val="auto"/>
        </w:rPr>
      </w:pPr>
    </w:p>
    <w:p>
      <w:pPr>
        <w:ind w:left="860" w:right="100" w:hanging="363"/>
        <w:spacing w:after="0" w:line="307" w:lineRule="auto"/>
        <w:tabs>
          <w:tab w:leader="none" w:pos="86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the progress, costs and outcomes of our ongoing SOL and HELIOS registrational programs of AXPAXLI for the treatment of wet AMD and for the treatment of diabetic retinal disease, including NPDR, respectively;</w:t>
      </w:r>
    </w:p>
    <w:p>
      <w:pPr>
        <w:spacing w:after="0" w:line="154" w:lineRule="exact"/>
        <w:rPr>
          <w:rFonts w:ascii="Arial" w:cs="Arial" w:eastAsia="Arial" w:hAnsi="Arial"/>
          <w:sz w:val="19"/>
          <w:szCs w:val="19"/>
          <w:color w:val="auto"/>
        </w:rPr>
      </w:pPr>
    </w:p>
    <w:p>
      <w:pPr>
        <w:ind w:left="860" w:right="140" w:hanging="363"/>
        <w:spacing w:after="0" w:line="279" w:lineRule="auto"/>
        <w:tabs>
          <w:tab w:leader="none" w:pos="86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scope, progress, costs and outcome of our planned SOL-X trial, our long-term extension study of AXPAXLI for the treatment of wet AMD;</w:t>
      </w:r>
    </w:p>
    <w:p>
      <w:pPr>
        <w:spacing w:after="0" w:line="179" w:lineRule="exact"/>
        <w:rPr>
          <w:rFonts w:ascii="Arial" w:cs="Arial" w:eastAsia="Arial" w:hAnsi="Arial"/>
          <w:sz w:val="20"/>
          <w:szCs w:val="20"/>
          <w:color w:val="auto"/>
        </w:rPr>
      </w:pPr>
    </w:p>
    <w:p>
      <w:pPr>
        <w:ind w:left="860" w:hanging="363"/>
        <w:spacing w:after="0" w:line="279" w:lineRule="auto"/>
        <w:tabs>
          <w:tab w:leader="none" w:pos="86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AXPAXLI or our other product candidates by the FDA, the European Medicines Agency, or EMA, or other regulatory authorities;</w:t>
      </w:r>
    </w:p>
    <w:p>
      <w:pPr>
        <w:spacing w:after="0" w:line="178" w:lineRule="exact"/>
        <w:rPr>
          <w:rFonts w:ascii="Arial" w:cs="Arial" w:eastAsia="Arial" w:hAnsi="Arial"/>
          <w:sz w:val="20"/>
          <w:szCs w:val="20"/>
          <w:color w:val="auto"/>
        </w:rPr>
      </w:pPr>
    </w:p>
    <w:p>
      <w:pPr>
        <w:ind w:left="860" w:right="100" w:hanging="363"/>
        <w:spacing w:after="0" w:line="279" w:lineRule="auto"/>
        <w:tabs>
          <w:tab w:leader="none" w:pos="86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costs and outcome of preclinical development and any additional clinical trials we might determine in the future to conduct for our other product candidates, including OTX-TIC for the reduction of</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680"/>
          </w:cols>
          <w:pgMar w:left="1080" w:top="1064" w:right="1120" w:bottom="0" w:gutter="0" w:footer="0" w:header="0"/>
          <w:type w:val="continuous"/>
        </w:sectPr>
      </w:pPr>
    </w:p>
    <w:bookmarkStart w:id="66" w:name="page67"/>
    <w:bookmarkEnd w:id="66"/>
    <w:p>
      <w:pPr>
        <w:ind w:left="860" w:right="160"/>
        <w:spacing w:after="0" w:line="280" w:lineRule="auto"/>
        <w:rPr>
          <w:sz w:val="20"/>
          <w:szCs w:val="20"/>
          <w:color w:val="auto"/>
        </w:rPr>
      </w:pPr>
      <w:r>
        <w:rPr>
          <w:rFonts w:ascii="Times New Roman" w:cs="Times New Roman" w:eastAsia="Times New Roman" w:hAnsi="Times New Roman"/>
          <w:sz w:val="20"/>
          <w:szCs w:val="20"/>
          <w:color w:val="auto"/>
        </w:rPr>
        <w:t>intraocular pressure, or IOP, in patients with primary open-angle glaucoma, or OAG, or ocular hypertension, or OHT;</w:t>
      </w:r>
    </w:p>
    <w:p>
      <w:pPr>
        <w:spacing w:after="0" w:line="179" w:lineRule="exact"/>
        <w:rPr>
          <w:sz w:val="20"/>
          <w:szCs w:val="20"/>
          <w:color w:val="auto"/>
        </w:rPr>
      </w:pPr>
    </w:p>
    <w:p>
      <w:pPr>
        <w:ind w:left="860" w:right="220" w:hanging="363"/>
        <w:spacing w:after="0" w:line="249" w:lineRule="auto"/>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developing, validating and scaling up our manufacturing processes and capabilities to support sales of commercial products, clinical trials of our product candidates, including AXPAXLI, and commercialization of any of our product candidates for which we may obtain marketing approval, including AXPAXLI, and of expanding our facilities to accommodate this scale up and any corresponding growth in personnel;</w:t>
      </w:r>
    </w:p>
    <w:p>
      <w:pPr>
        <w:spacing w:after="0" w:line="210" w:lineRule="exact"/>
        <w:rPr>
          <w:rFonts w:ascii="Arial" w:cs="Arial" w:eastAsia="Arial" w:hAnsi="Arial"/>
          <w:sz w:val="20"/>
          <w:szCs w:val="20"/>
          <w:color w:val="auto"/>
        </w:rPr>
      </w:pPr>
    </w:p>
    <w:p>
      <w:pPr>
        <w:ind w:left="860" w:hanging="363"/>
        <w:spacing w:after="0" w:line="253" w:lineRule="auto"/>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sales, marketing, distribution and other commercialization efforts with respect to DEXTENZA and any of our product candidates for which we obtain or may obtain marketing approval in the future, such as AXPAXLI, including costs related to preparing for and implementing the potential marketing of AXPAXLI outside the United States;</w:t>
      </w:r>
    </w:p>
    <w:p>
      <w:pPr>
        <w:spacing w:after="0" w:line="204" w:lineRule="exact"/>
        <w:rPr>
          <w:rFonts w:ascii="Arial" w:cs="Arial" w:eastAsia="Arial" w:hAnsi="Arial"/>
          <w:sz w:val="20"/>
          <w:szCs w:val="20"/>
          <w:color w:val="auto"/>
        </w:rPr>
      </w:pPr>
    </w:p>
    <w:p>
      <w:pPr>
        <w:ind w:left="860" w:right="520" w:hanging="363"/>
        <w:spacing w:after="0" w:line="279" w:lineRule="auto"/>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product sales from DEXTENZA and any additional products for which we obtain marketing approval in the future and the level of third-party reimbursement of such products;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cost increases due to inflation;</w:t>
      </w:r>
    </w:p>
    <w:p>
      <w:pPr>
        <w:spacing w:after="0" w:line="252" w:lineRule="exact"/>
        <w:rPr>
          <w:rFonts w:ascii="Arial" w:cs="Arial" w:eastAsia="Arial" w:hAnsi="Arial"/>
          <w:sz w:val="20"/>
          <w:szCs w:val="20"/>
          <w:color w:val="auto"/>
        </w:rPr>
      </w:pPr>
    </w:p>
    <w:p>
      <w:pPr>
        <w:ind w:left="860" w:right="280" w:hanging="363"/>
        <w:spacing w:after="0" w:line="279" w:lineRule="auto"/>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of our debt service obligations and our ability, if desired, to refinance any of our existing debt on terms that are more favorable to us;</w:t>
      </w:r>
    </w:p>
    <w:p>
      <w:pPr>
        <w:spacing w:after="0" w:line="179" w:lineRule="exact"/>
        <w:rPr>
          <w:rFonts w:ascii="Arial" w:cs="Arial" w:eastAsia="Arial" w:hAnsi="Arial"/>
          <w:sz w:val="20"/>
          <w:szCs w:val="20"/>
          <w:color w:val="auto"/>
        </w:rPr>
      </w:pPr>
    </w:p>
    <w:p>
      <w:pPr>
        <w:ind w:left="860" w:right="120" w:hanging="363"/>
        <w:spacing w:after="0" w:line="259" w:lineRule="auto"/>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amounts we are entitled to receive, if any, as reimbursements for clinical trial expenditures, development, regulatory, and sales milestone payments, and royalty payments under our license agreement with AffaMed Therapeutics Limited, or AffaMed;</w:t>
      </w:r>
    </w:p>
    <w:p>
      <w:pPr>
        <w:spacing w:after="0" w:line="198" w:lineRule="exact"/>
        <w:rPr>
          <w:rFonts w:ascii="Arial" w:cs="Arial" w:eastAsia="Arial" w:hAnsi="Arial"/>
          <w:sz w:val="20"/>
          <w:szCs w:val="20"/>
          <w:color w:val="auto"/>
        </w:rPr>
      </w:pPr>
    </w:p>
    <w:p>
      <w:pPr>
        <w:ind w:left="860" w:right="960" w:hanging="363"/>
        <w:spacing w:after="0" w:line="279" w:lineRule="auto"/>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choose to establish additional collaboration, distribution or other marketing arrangements for our products and product candidates;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outcomes of any legal actions and proceedings;</w:t>
      </w:r>
    </w:p>
    <w:p>
      <w:pPr>
        <w:spacing w:after="0" w:line="252" w:lineRule="exact"/>
        <w:rPr>
          <w:rFonts w:ascii="Arial" w:cs="Arial" w:eastAsia="Arial" w:hAnsi="Arial"/>
          <w:sz w:val="20"/>
          <w:szCs w:val="20"/>
          <w:color w:val="auto"/>
        </w:rPr>
      </w:pPr>
    </w:p>
    <w:p>
      <w:pPr>
        <w:ind w:left="860" w:right="280" w:hanging="363"/>
        <w:spacing w:after="0" w:line="279" w:lineRule="auto"/>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 and</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invest in other businesses, products and technologies.</w:t>
      </w:r>
    </w:p>
    <w:p>
      <w:pPr>
        <w:spacing w:after="0" w:line="238" w:lineRule="exact"/>
        <w:rPr>
          <w:sz w:val="20"/>
          <w:szCs w:val="20"/>
          <w:color w:val="auto"/>
        </w:rPr>
      </w:pPr>
    </w:p>
    <w:p>
      <w:pPr>
        <w:ind w:right="80" w:firstLine="489"/>
        <w:spacing w:after="0" w:line="250" w:lineRule="auto"/>
        <w:rPr>
          <w:sz w:val="20"/>
          <w:szCs w:val="20"/>
          <w:color w:val="auto"/>
        </w:rPr>
      </w:pPr>
      <w:r>
        <w:rPr>
          <w:rFonts w:ascii="Times New Roman" w:cs="Times New Roman" w:eastAsia="Times New Roman" w:hAnsi="Times New Roman"/>
          <w:sz w:val="20"/>
          <w:szCs w:val="20"/>
          <w:color w:val="auto"/>
        </w:rPr>
        <w:t>Conducting preclinical testing and clinical trials, seeking market approvals and commercializing products are time -consuming, expensive and uncertain processes that take years to complete. We may never generate the necessary data or results required to obtain regulatory approval of products with the market potential sufficient to enable us to generate significant revenues from the sale of such products. Accordingly, we will likely require additional financing to achieve our business objectives. Adequate additional financing may not be available to us on acceptable terms, or at all.</w:t>
      </w:r>
    </w:p>
    <w:p>
      <w:pPr>
        <w:spacing w:after="0" w:line="195"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products or product candidates.</w:t>
      </w:r>
    </w:p>
    <w:p>
      <w:pPr>
        <w:spacing w:after="0" w:line="165"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Until such time, if ever, as we can generate product revenues sufficient to achieve profitability, we expect to finance our cash needs through equity offerings, debt financings, collaborations, strategic alliances, licensing arrangements, royalty agreements, and marketing and distribution arrangements. We do not have any committed external source of funds, although our license agreement with AffaMed provides for AffaMed’s reimbursement of certain clinical expenses incurred by us in connection with our collaboration and for our potential receipt of development and sales milestone payments and royalty payments. To the extent that we raise additional capital through the sale of equity, preferred equity or convertible debt securities, our securityholders’ ownership interests will be diluted, and the terms of these securities may include liquidation or other preferences that adversely affect our existing securityholders’ rights as holders or beneficial owners of our common stock. Debt financing, such as our existing Barings Credit Facility, and preferred equity financing, if available, may involve agreements that include covenants limiting or restricting our ability to take specific actions, such as incurring additional debt, making capital expenditures or declaring</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720"/>
          </w:cols>
          <w:pgMar w:left="1080" w:top="1064" w:right="1080" w:bottom="0" w:gutter="0" w:footer="0" w:header="0"/>
          <w:type w:val="continuous"/>
        </w:sectPr>
      </w:pPr>
    </w:p>
    <w:bookmarkStart w:id="67" w:name="page68"/>
    <w:bookmarkEnd w:id="67"/>
    <w:p>
      <w:pPr>
        <w:jc w:val="both"/>
        <w:ind w:right="160"/>
        <w:spacing w:after="0" w:line="260" w:lineRule="auto"/>
        <w:rPr>
          <w:sz w:val="20"/>
          <w:szCs w:val="20"/>
          <w:color w:val="auto"/>
        </w:rPr>
      </w:pPr>
      <w:r>
        <w:rPr>
          <w:rFonts w:ascii="Times New Roman" w:cs="Times New Roman" w:eastAsia="Times New Roman" w:hAnsi="Times New Roman"/>
          <w:sz w:val="20"/>
          <w:szCs w:val="20"/>
          <w:color w:val="auto"/>
        </w:rPr>
        <w:t>dividends. Our pledge of our assets as collateral to secure our obligations under the Barings Credit Facility pursuant to which we have a total borrowing capacity of $82.5 million, which has been fully drawn down, may limit our ability to obtain additional debt or other financing.</w:t>
      </w:r>
    </w:p>
    <w:p>
      <w:pPr>
        <w:spacing w:after="0" w:line="183"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licensing arrangements, royalty agreements or marketing and distribution arrangements, we may have to relinquish valuable rights to our technologies, future revenue streams, research programs, products or product candidates or grant licenses on terms that may not be favorable to us. If we are unable to raise additional funds through equity or debt financings or other arrangements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0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significant indebtedness may limit cash flow available to invest in the ongoing needs of our business or otherwise affect our operations.</w:t>
      </w:r>
    </w:p>
    <w:p>
      <w:pPr>
        <w:spacing w:after="0" w:line="165" w:lineRule="exact"/>
        <w:rPr>
          <w:sz w:val="20"/>
          <w:szCs w:val="20"/>
          <w:color w:val="auto"/>
        </w:rPr>
      </w:pPr>
    </w:p>
    <w:p>
      <w:pPr>
        <w:ind w:right="240" w:firstLine="489"/>
        <w:spacing w:after="0" w:line="244" w:lineRule="auto"/>
        <w:rPr>
          <w:sz w:val="20"/>
          <w:szCs w:val="20"/>
          <w:color w:val="auto"/>
        </w:rPr>
      </w:pPr>
      <w:r>
        <w:rPr>
          <w:rFonts w:ascii="Times New Roman" w:cs="Times New Roman" w:eastAsia="Times New Roman" w:hAnsi="Times New Roman"/>
          <w:sz w:val="20"/>
          <w:szCs w:val="20"/>
          <w:color w:val="auto"/>
        </w:rPr>
        <w:t>Under the Barings Credit Facility, we have $82.5 million, net of unamortized discount and fees, of outstanding principal indebtedness. Under the Barings Credit Agreement, we are permitted to make payments of interest and fees only through August 2029, at which time we will be required to repay the full principal amount in addition to any outstanding interest and fees. In addition, we are obligated to pay a fee, which we refer to as the Royalty Fee, in an amount equal to $82.5 million, reduced by the total amount of interest and principal prepayment fees paid by us and subject to further potential reductions as specified in the Barings Credit Agreement. We are required to pay the Royalty Fee in installments to Barings, for the benefit of the lenders, on a quarterly basis in an amount equal to three and one-half percent (3.5%) of the net sales of DEXTENZA occurring during such quarter, subject to the terms, conditions and limitations specified in the Barings Credit Agreement, until the Royalty Fee is paid in full. Any then remaining Royalty Fee is due and payable upon a change of control of the company.</w:t>
      </w:r>
    </w:p>
    <w:p>
      <w:pPr>
        <w:spacing w:after="0" w:line="203" w:lineRule="exact"/>
        <w:rPr>
          <w:sz w:val="20"/>
          <w:szCs w:val="20"/>
          <w:color w:val="auto"/>
        </w:rPr>
      </w:pPr>
    </w:p>
    <w:p>
      <w:pPr>
        <w:ind w:right="40" w:firstLine="489"/>
        <w:spacing w:after="0" w:line="253" w:lineRule="auto"/>
        <w:rPr>
          <w:sz w:val="20"/>
          <w:szCs w:val="20"/>
          <w:color w:val="auto"/>
        </w:rPr>
      </w:pPr>
      <w:r>
        <w:rPr>
          <w:rFonts w:ascii="Times New Roman" w:cs="Times New Roman" w:eastAsia="Times New Roman" w:hAnsi="Times New Roman"/>
          <w:sz w:val="20"/>
          <w:szCs w:val="20"/>
          <w:color w:val="auto"/>
        </w:rPr>
        <w:t>Our obligations under the Barings Credit Agreement are secured by all of our assets, including our intellectual property. The Barings Credit Agreement includes customary affirmative and negative covenants and requires us to maintain a minimum liquidity amount of $20.0 million. We could in the future incur additional indebtedness beyond this amount, including by potentially amending the Barings Credit Agreement.</w:t>
      </w:r>
    </w:p>
    <w:p>
      <w:pPr>
        <w:spacing w:after="0" w:line="190" w:lineRule="exact"/>
        <w:rPr>
          <w:sz w:val="20"/>
          <w:szCs w:val="20"/>
          <w:color w:val="auto"/>
        </w:rPr>
      </w:pPr>
    </w:p>
    <w:p>
      <w:pPr>
        <w:ind w:right="540" w:firstLine="490"/>
        <w:spacing w:after="0" w:line="280" w:lineRule="auto"/>
        <w:rPr>
          <w:sz w:val="20"/>
          <w:szCs w:val="20"/>
          <w:color w:val="auto"/>
        </w:rPr>
      </w:pPr>
      <w:r>
        <w:rPr>
          <w:rFonts w:ascii="Times New Roman" w:cs="Times New Roman" w:eastAsia="Times New Roman" w:hAnsi="Times New Roman"/>
          <w:sz w:val="20"/>
          <w:szCs w:val="20"/>
          <w:color w:val="auto"/>
        </w:rPr>
        <w:t>Our significant debt combined with our other financial obligations and contractual commitments could have significant adverse consequences, including:</w:t>
      </w:r>
    </w:p>
    <w:p>
      <w:pPr>
        <w:spacing w:after="0" w:line="179" w:lineRule="exact"/>
        <w:rPr>
          <w:sz w:val="20"/>
          <w:szCs w:val="20"/>
          <w:color w:val="auto"/>
        </w:rPr>
      </w:pPr>
    </w:p>
    <w:p>
      <w:pPr>
        <w:ind w:left="860" w:right="100" w:hanging="362"/>
        <w:spacing w:after="0" w:line="249" w:lineRule="auto"/>
        <w:tabs>
          <w:tab w:leader="none" w:pos="8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requiring us to dedicate a substantial portion of cash and cash equivalents and marketable securities to the payment of interest on, and principal of, our debt and related fees such as the Royalty Fee, which collectively reduce the amounts available to fund operating expenditures, including working capital, and capital expenditures and other general corporate purposes and may also have the effect of delaying, deferring or preventing a change of control;</w:t>
      </w:r>
    </w:p>
    <w:p>
      <w:pPr>
        <w:spacing w:after="0" w:line="210" w:lineRule="exact"/>
        <w:rPr>
          <w:rFonts w:ascii="Arial" w:cs="Arial" w:eastAsia="Arial" w:hAnsi="Arial"/>
          <w:sz w:val="20"/>
          <w:szCs w:val="20"/>
          <w:color w:val="auto"/>
        </w:rPr>
      </w:pPr>
    </w:p>
    <w:p>
      <w:pPr>
        <w:ind w:left="860" w:hanging="362"/>
        <w:spacing w:after="0"/>
        <w:tabs>
          <w:tab w:leader="none" w:pos="8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obligating us to additional negative covenants further restricting our activities;</w:t>
      </w:r>
    </w:p>
    <w:p>
      <w:pPr>
        <w:spacing w:after="0" w:line="253" w:lineRule="exact"/>
        <w:rPr>
          <w:rFonts w:ascii="Arial" w:cs="Arial" w:eastAsia="Arial" w:hAnsi="Arial"/>
          <w:sz w:val="20"/>
          <w:szCs w:val="20"/>
          <w:color w:val="auto"/>
        </w:rPr>
      </w:pPr>
    </w:p>
    <w:p>
      <w:pPr>
        <w:ind w:left="860" w:hanging="362"/>
        <w:spacing w:after="0"/>
        <w:tabs>
          <w:tab w:leader="none" w:pos="8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limiting our flexibility in planning for, or reacting to, changes in our business and our industry; and</w:t>
      </w:r>
    </w:p>
    <w:p>
      <w:pPr>
        <w:spacing w:after="0" w:line="252" w:lineRule="exact"/>
        <w:rPr>
          <w:rFonts w:ascii="Arial" w:cs="Arial" w:eastAsia="Arial" w:hAnsi="Arial"/>
          <w:sz w:val="20"/>
          <w:szCs w:val="20"/>
          <w:color w:val="auto"/>
        </w:rPr>
      </w:pPr>
    </w:p>
    <w:p>
      <w:pPr>
        <w:ind w:left="860" w:right="600" w:hanging="362"/>
        <w:spacing w:after="0" w:line="279" w:lineRule="auto"/>
        <w:tabs>
          <w:tab w:leader="none" w:pos="8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placing us at a competitive disadvantage compared to our competitors that have less debt or better debt servicing options.</w:t>
      </w:r>
    </w:p>
    <w:p>
      <w:pPr>
        <w:spacing w:after="0" w:line="164" w:lineRule="exact"/>
        <w:rPr>
          <w:sz w:val="20"/>
          <w:szCs w:val="20"/>
          <w:color w:val="auto"/>
        </w:rPr>
      </w:pPr>
    </w:p>
    <w:p>
      <w:pPr>
        <w:jc w:val="both"/>
        <w:ind w:right="180" w:firstLine="489"/>
        <w:spacing w:after="0" w:line="253" w:lineRule="auto"/>
        <w:rPr>
          <w:sz w:val="20"/>
          <w:szCs w:val="20"/>
          <w:color w:val="auto"/>
        </w:rPr>
      </w:pPr>
      <w:r>
        <w:rPr>
          <w:rFonts w:ascii="Times New Roman" w:cs="Times New Roman" w:eastAsia="Times New Roman" w:hAnsi="Times New Roman"/>
          <w:sz w:val="20"/>
          <w:szCs w:val="20"/>
          <w:color w:val="auto"/>
        </w:rPr>
        <w:t>We intend to satisfy our current and future debt service obligations with our existing cash and cash equivalents, anticipated product revenue from DEXTENZA and funds from external sources. However, we may not have sufficient funds or may be unable to arrange for additional financing to pay the amounts due under our existing debt. Funds from external sources may not be available on acceptable terms, if at all.</w:t>
      </w:r>
    </w:p>
    <w:p>
      <w:pPr>
        <w:spacing w:after="0" w:line="191" w:lineRule="exact"/>
        <w:rPr>
          <w:sz w:val="20"/>
          <w:szCs w:val="20"/>
          <w:color w:val="auto"/>
        </w:rPr>
      </w:pPr>
    </w:p>
    <w:p>
      <w:pPr>
        <w:ind w:right="20" w:firstLine="489"/>
        <w:spacing w:after="0" w:line="253" w:lineRule="auto"/>
        <w:rPr>
          <w:sz w:val="20"/>
          <w:szCs w:val="20"/>
          <w:color w:val="auto"/>
        </w:rPr>
      </w:pPr>
      <w:r>
        <w:rPr>
          <w:rFonts w:ascii="Times New Roman" w:cs="Times New Roman" w:eastAsia="Times New Roman" w:hAnsi="Times New Roman"/>
          <w:sz w:val="20"/>
          <w:szCs w:val="20"/>
          <w:color w:val="auto"/>
        </w:rPr>
        <w:t>A failure to comply with the conditions of the Barings Credit Agreement could result in an event of default under the agreement. In an event of default, including upon the occurrence of an event that would reasonably be expected to have a material adverse effect on our business or operations, the amounts due under our Barings Credit Agreement could accelerate. As a result, we may not have sufficient funds or may be unable to arrange for additional financing to repay</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700"/>
          </w:cols>
          <w:pgMar w:left="1080" w:top="1064" w:right="1100" w:bottom="0" w:gutter="0" w:footer="0" w:header="0"/>
          <w:type w:val="continuous"/>
        </w:sectPr>
      </w:pPr>
    </w:p>
    <w:bookmarkStart w:id="68" w:name="page69"/>
    <w:bookmarkEnd w:id="68"/>
    <w:p>
      <w:pPr>
        <w:ind w:right="300"/>
        <w:spacing w:after="0" w:line="280" w:lineRule="auto"/>
        <w:rPr>
          <w:sz w:val="20"/>
          <w:szCs w:val="20"/>
          <w:color w:val="auto"/>
        </w:rPr>
      </w:pPr>
      <w:r>
        <w:rPr>
          <w:rFonts w:ascii="Times New Roman" w:cs="Times New Roman" w:eastAsia="Times New Roman" w:hAnsi="Times New Roman"/>
          <w:sz w:val="20"/>
          <w:szCs w:val="20"/>
          <w:color w:val="auto"/>
        </w:rPr>
        <w:t>our indebtedness or to make any accelerated payments, and the lenders could seek to enforce security interests in the collateral securing such indebtedness.</w:t>
      </w:r>
    </w:p>
    <w:p>
      <w:pPr>
        <w:spacing w:after="0" w:line="145"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hold our cash and cash equivalents that we use to fund our operating expenses, debt service obligations, and capital expenditure requirements in deposit accounts that could be adversely affected if the financial institutions holding such funds fail.</w:t>
      </w:r>
    </w:p>
    <w:p>
      <w:pPr>
        <w:spacing w:after="0" w:line="16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hold our cash and cash equivalents that we use to fund our operating expenses, debt service obligations, and capital expenditure requirements in deposit accounts at three financial institutions. The balances held in these accounts typically exceed the standard deposit insurance limit of the Federal Deposit Insurance Corporation, or FDIC. If a financial institution in which we hold such funds fails or is subject to significant adverse conditions in the financial or credit markets, we could be subject to a risk of loss of all or a portion of our uninsured funds or be subject to a delay in accessing all or a portion of such funds. Any such loss or lack of access to these funds could adversely impact our short-term liquidity and ability to meet our operating expense, debt service, and capital expenditure obligations.</w:t>
      </w:r>
    </w:p>
    <w:p>
      <w:pPr>
        <w:spacing w:after="0" w:line="180" w:lineRule="exact"/>
        <w:rPr>
          <w:sz w:val="20"/>
          <w:szCs w:val="20"/>
          <w:color w:val="auto"/>
        </w:rPr>
      </w:pPr>
    </w:p>
    <w:p>
      <w:pPr>
        <w:ind w:right="260" w:firstLine="489"/>
        <w:spacing w:after="0" w:line="253" w:lineRule="auto"/>
        <w:rPr>
          <w:sz w:val="20"/>
          <w:szCs w:val="20"/>
          <w:color w:val="auto"/>
        </w:rPr>
      </w:pPr>
      <w:r>
        <w:rPr>
          <w:rFonts w:ascii="Times New Roman" w:cs="Times New Roman" w:eastAsia="Times New Roman" w:hAnsi="Times New Roman"/>
          <w:sz w:val="20"/>
          <w:szCs w:val="20"/>
          <w:color w:val="auto"/>
        </w:rPr>
        <w:t>For example, on March 10, 2023, Silicon Valley Bank, or SVB, was closed by the California Department of Financial Protection and Innovation, and the FDIC was appointed as receiver. During this time, deposits held at SVB were temporarily inaccessible to SVB’s customers. At the time SVB was closed by its regulators, we maintained a significant portion of our cash and cash equivalents in deposit accounts with SVB.</w:t>
      </w:r>
    </w:p>
    <w:p>
      <w:pPr>
        <w:spacing w:after="0" w:line="171"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Our cash and cash equivalents remain concentrated in a small number of financial institutions. If any of the financial institutions in which we hold cash or cash equivalents were to fail in the future, we cannot provide any assurances that any governmental agencies would take action to protect or provide access to our uninsured deposits, or a third party would assume the failing financial institution’s obligations, in a similar manner as occurred in connection with the closure, receivership, and sale of SVB, and we may lose or be unable to access some or all of the uninsured funds we are holding at such financial institution.</w:t>
      </w:r>
    </w:p>
    <w:p>
      <w:pPr>
        <w:spacing w:after="0" w:line="174"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auto"/>
        </w:rPr>
        <w:t>We also maintain investment accounts with multiple financial institutions. If our access to our cash and cash equivalents in our deposit accounts is impaired, we may not be able to open new operating accounts or to sell investments or transfer funds from our investment accounts to new operating accounts on a timely basis sufficient to meet our operating expense, debt service, and capital expenditure obligations.</w:t>
      </w:r>
    </w:p>
    <w:p>
      <w:pPr>
        <w:spacing w:after="0" w:line="172"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might not be able to utilize a significant portion of our net operating loss carryforwards and research and development tax credit carryforwards.</w:t>
      </w:r>
    </w:p>
    <w:p>
      <w:pPr>
        <w:spacing w:after="0" w:line="146"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As of December 31, 2025, we had net operating loss, or NOL, carryforwards for federal and state income tax purposes of $777.7 million and $ 476.5 million, respectively. The federal and state NOLs generated for annual periods prior to January 1, 2018 begin to expire in 2026. Our federal NOLs generated for the years ended on or after December 31, 2018, which amount to a total of $651.9 million, can be carried forward indefinitely, although the deduction for such NOLs is limited to 80% of current year taxable income. As of December 31, 2025, we also had available research and development tax credit carryforwards for federal and state income tax purposes of $24.7 million and $15.4 million, respectively, which begin to expire in 2026 and 2025, respectively. These NOL and tax credit carryforwards could expire unused and be unavailable to offset our future income tax liabilities. Even if we attain profitability, we may be unable to use a material portion of our NOLs and other tax attributes because, among other reasons, federal tax rates and the rules governing NOL carryforwards might change; state NOLs generated in one state cannot be used to offset income generated in another state; and the use of NOL carryforwards might become subject to annual limitations under Section 382 of the Internal Revenue Code of 1986, as amended, or the Code, and similar state provisions.</w:t>
      </w:r>
    </w:p>
    <w:p>
      <w:pPr>
        <w:spacing w:after="0" w:line="18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in their implementation or interpretation could adversely affect our business and financial condition.</w:t>
      </w:r>
    </w:p>
    <w:p>
      <w:pPr>
        <w:spacing w:after="0" w:line="145"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w:t>
      </w:r>
    </w:p>
    <w:p>
      <w:pPr>
        <w:sectPr>
          <w:pgSz w:w="11880" w:h="15480" w:orient="portrait"/>
          <w:cols w:equalWidth="0" w:num="1">
            <w:col w:w="9640"/>
          </w:cols>
          <w:pgMar w:left="1080" w:top="1064" w:right="11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640"/>
          </w:cols>
          <w:pgMar w:left="1080" w:top="1064" w:right="1160" w:bottom="0" w:gutter="0" w:footer="0" w:header="0"/>
          <w:type w:val="continuous"/>
        </w:sectPr>
      </w:pPr>
    </w:p>
    <w:bookmarkStart w:id="69" w:name="page70"/>
    <w:bookmarkEnd w:id="69"/>
    <w:p>
      <w:pPr>
        <w:ind w:right="60"/>
        <w:spacing w:after="0" w:line="245" w:lineRule="auto"/>
        <w:rPr>
          <w:sz w:val="20"/>
          <w:szCs w:val="20"/>
          <w:color w:val="auto"/>
        </w:rPr>
      </w:pPr>
      <w:r>
        <w:rPr>
          <w:rFonts w:ascii="Times New Roman" w:cs="Times New Roman" w:eastAsia="Times New Roman" w:hAnsi="Times New Roman"/>
          <w:sz w:val="20"/>
          <w:szCs w:val="20"/>
          <w:color w:val="auto"/>
        </w:rPr>
        <w:t>money or other property (other than stock of the company itself), subject to a de minimis exception. Thus, the excise tax could apply to certain transactions that are not traditional stock repurchases. The OBBBA contains numerous tax law changes including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we do not expect, however, that these changes will have a significant effect on our business or financial condition.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Product Development</w:t>
      </w:r>
    </w:p>
    <w:p>
      <w:pPr>
        <w:spacing w:after="0" w:line="24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Clinical trials of AXPAXLI or our other product candidates may not be successful. If clinical trials of our product candidates fail to demonstrate safety and efficacy to the satisfaction of the FDA or other regulatory authorities or do not otherwise produce favorable results, we may incur additional costs or experience delays in completing, or ultimately be delayed or unable to complete, the development and commercialization of such product candidate and our business may be harmed.</w:t>
      </w:r>
    </w:p>
    <w:p>
      <w:pPr>
        <w:spacing w:after="0" w:line="196" w:lineRule="exact"/>
        <w:rPr>
          <w:sz w:val="20"/>
          <w:szCs w:val="20"/>
          <w:color w:val="auto"/>
        </w:rPr>
      </w:pPr>
    </w:p>
    <w:p>
      <w:pPr>
        <w:ind w:right="60" w:firstLine="490"/>
        <w:spacing w:after="0" w:line="241"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any product candidate, including our lead product candidate AXPAXLI,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stage clinical trials, interim results of a clinical trial do not necessarily predict final results and results from one completed clinical trial may not be replicated in a subsequent clinical trial with a similar study design. Some of our completed studies were conducted with small patient populations, making it difficult to predict whether the favorable results that we observed in such studies will be repeated in larger and more advanced clinical trials. The sample size for later stage clinical trials, including for our SOL and HELIOS registrational trials, are determined based on certain assumptions regarding the efficacy of the product candidate under evaluation. Even if a product candidate, such as AXPAXLI, is an effective treatment, a clinical trial may not meet its primary efficacy endpoint if the assumptions used to determine the trial sample size were not correct and therefore the trial is not adequately powered. In addition, as product candidates advance in development, the number of clinical trial sites and investigators taking part in the trial will increase, particularly as product candidates enter pivotal studies. New clinical sites or investigators who were not part of prior trials are likely to be unfamiliar with our protocols and product candidates and may introduce increased variability in product candidate administration and subject care throughout the trial. Some of our clinical trials also were conducted with different formulations than those that we are currently evaluating. For example, we are using a single optimized dose of AXPAXLI with a drug load of 450 µg of a more soluble form of axitinib in our SOL and HELIOS registrational trials, which is different than the formulation and dosage used in prior clinical trials for AXPAXLI, and intend to use the same formulation being used in the SOL and HELIOS registrational trials in future clinical trials of AXPAXLI, including our planned SOL-X trial. As we have not evaluated this formulation in earlier trials, it may not demonstrate the efficacy or safety profile that we anticipate.</w:t>
      </w:r>
    </w:p>
    <w:p>
      <w:pPr>
        <w:spacing w:after="0" w:line="21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The protocols for our clinical trials and other supporting information are subject to review by the FDA and regulatory authorities outside the United States. The FDA is not obligated to comment on our trial protocols, however, within any specified time-period or at all or to affirmatively clear or approve our planned pivotal clinical trials. Subject to a waiting period of 30 days for the initial IND submission, we could choose to initiate any clinical trial in the United States, including a pivotal clinical trial, without waiting for any additional period for comments from the FDA. Although the FDA may implicitly clear our clinical trial protocols or may provide comments regarding our development plans as part of a Special Protocol Assessment, or SPA, agreement or other request for formal feedback, final determinations for marketing application approval are made after a complete review of a marketing application and are based on the entirety of the data in the new drug application. We are conducting our SOL-1 trial under a SPA agreement, as amended, agreed to with the FDA, and will conduct, if needed, the HELIOS-2 trial, under a SPA agreement agreed to with the FDA in 2025. A SPA agreement indicates concurrence by the FDA with the adequacy and acceptability of specific critical elements of the overall protocol design for a clinical trial intended to support a future marketing application, but it does not indicate FDA concurrence on every protocol</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700"/>
          </w:cols>
          <w:pgMar w:left="1080" w:top="1064" w:right="1100" w:bottom="0" w:gutter="0" w:footer="0" w:header="0"/>
          <w:type w:val="continuous"/>
        </w:sectPr>
      </w:pPr>
    </w:p>
    <w:bookmarkStart w:id="70" w:name="page71"/>
    <w:bookmarkEnd w:id="70"/>
    <w:p>
      <w:pPr>
        <w:ind w:right="140"/>
        <w:spacing w:after="0" w:line="248" w:lineRule="auto"/>
        <w:rPr>
          <w:sz w:val="20"/>
          <w:szCs w:val="20"/>
          <w:color w:val="auto"/>
        </w:rPr>
      </w:pPr>
      <w:r>
        <w:rPr>
          <w:rFonts w:ascii="Times New Roman" w:cs="Times New Roman" w:eastAsia="Times New Roman" w:hAnsi="Times New Roman"/>
          <w:sz w:val="20"/>
          <w:szCs w:val="20"/>
          <w:color w:val="auto"/>
        </w:rPr>
        <w:t>detail. If we determine to deviate from the terms of the SPA agreement without the FDA’s concurrence, or if the FDA determines that we have deviated from the terms of the SPA agreement, the SPA agreement could be invalidated. Moreover, the FDA retains significant discretion in interpreting the terms of a SPA agreement and the data and results from any trial that is the subject of a SPA agreement. A SPA agreement does not ensure the receipt of marketing approval by the FDA or other regulatory authorities, even if the clinical trial subject to the SPA agreement is successful or meets its primary endpoint, or that the approval process will be faster than conventional procedures.</w:t>
      </w:r>
    </w:p>
    <w:p>
      <w:pPr>
        <w:spacing w:after="0" w:line="19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Additionally, although the FDA has indicated a general openness to requiring only one pivotal clinical trial for approval of a product candidate, the FDA has not yet provided specific guidance on how that approach is to be implemented. Our current plans call for the submission of an application for marketing approval of AXPAXLI for the treatment of wet AMD based on Week 52 data from the SOL-1 trial, prior to receipt of data from the SOL-R trial or SOL-X trial. Through future interactions and/or guidance from the FDA, we may learn that the FDA would not permit such an approach or would not agree that such an approach would provide sufficient efficacy or safety data to the FDA for its evaluation of the application, which could cause us to delay submission of such application until such time as we have collected and prepared information we believe to be sufficient to satisfy the FDA’s requirements. In the alternative, we may submit such an application and the FDA may refuse to accept the application for filing or, even if the FDA does accept such an application for filing, it may conclude that we have not provided sufficient efficacy or safety data and may not approve such application following its review. Either of these outcomes would delay our receipt of marketing approval for AXPAXLI.</w:t>
      </w:r>
    </w:p>
    <w:p>
      <w:pPr>
        <w:spacing w:after="0" w:line="2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We have devoted a significant portion of our financial resources and business efforts to the development of</w:t>
      </w:r>
    </w:p>
    <w:p>
      <w:pPr>
        <w:ind w:right="160"/>
        <w:spacing w:after="0" w:line="248" w:lineRule="auto"/>
        <w:rPr>
          <w:sz w:val="20"/>
          <w:szCs w:val="20"/>
          <w:color w:val="auto"/>
        </w:rPr>
      </w:pPr>
      <w:r>
        <w:rPr>
          <w:rFonts w:ascii="Times New Roman" w:cs="Times New Roman" w:eastAsia="Times New Roman" w:hAnsi="Times New Roman"/>
          <w:sz w:val="20"/>
          <w:szCs w:val="20"/>
          <w:color w:val="auto"/>
        </w:rPr>
        <w:t>DEXTENZA and our product candidates. We are currently investing substantial resources to advance the development of AXPAXLI for the treatment of wet AMD and diabetic retinal disease. We currently have multiple ongoing Phase 3 clinical programs, namely our SOL and HELIOS registrational programs. We have, however, experienced the uncertainty of clinical trials in our own development programs. In our Phase 2 clinical trial for our former product candidate OTX-CSI for the treatment of dry eye disease, for example, OTX-CSI did not meet the primary endpoint of the clinical trial.</w:t>
      </w:r>
    </w:p>
    <w:p>
      <w:pPr>
        <w:spacing w:after="0" w:line="194" w:lineRule="exact"/>
        <w:rPr>
          <w:sz w:val="20"/>
          <w:szCs w:val="20"/>
          <w:color w:val="auto"/>
        </w:rPr>
      </w:pPr>
    </w:p>
    <w:p>
      <w:pPr>
        <w:ind w:right="440" w:firstLine="490"/>
        <w:spacing w:after="0" w:line="245" w:lineRule="auto"/>
        <w:rPr>
          <w:sz w:val="20"/>
          <w:szCs w:val="20"/>
          <w:color w:val="auto"/>
        </w:rPr>
      </w:pPr>
      <w:r>
        <w:rPr>
          <w:rFonts w:ascii="Times New Roman" w:cs="Times New Roman" w:eastAsia="Times New Roman" w:hAnsi="Times New Roman"/>
          <w:sz w:val="20"/>
          <w:szCs w:val="20"/>
          <w:color w:val="auto"/>
        </w:rPr>
        <w:t>If clinical trials of AXPAXLI or any other product candidate that we develop fail to demonstrate safety and efficacy to the satisfaction of the FDA or other regulatory authorities or do not otherwise produce clear or favorable results, we may incur additional costs or experience delays in completing, or ultimately be unable to complete, the development and commercialization of such product candidate. We cannot accurately predict when or if any of our product candidates will prove effective or safe in humans or whether our product candidates will receive marketing approval or reach successful commercialization. Our ability to generate product revenues sufficient to achieve profitability will depend heavily on our development and commercialization of products with significant market potential.</w:t>
      </w:r>
    </w:p>
    <w:p>
      <w:pPr>
        <w:spacing w:after="0" w:line="203"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experience any of a number of possible unforeseen events in connection with our clinical trials, potential marketing approval or commercialization of AXPAXLI or our other product candidates could be delayed or prevented.</w:t>
      </w:r>
    </w:p>
    <w:p>
      <w:pPr>
        <w:spacing w:after="0" w:line="184" w:lineRule="exact"/>
        <w:rPr>
          <w:sz w:val="20"/>
          <w:szCs w:val="20"/>
          <w:color w:val="auto"/>
        </w:rPr>
      </w:pPr>
    </w:p>
    <w:p>
      <w:pPr>
        <w:ind w:right="80" w:firstLine="490"/>
        <w:spacing w:after="0" w:line="308" w:lineRule="auto"/>
        <w:rPr>
          <w:sz w:val="20"/>
          <w:szCs w:val="20"/>
          <w:color w:val="auto"/>
        </w:rPr>
      </w:pPr>
      <w:r>
        <w:rPr>
          <w:rFonts w:ascii="Times New Roman" w:cs="Times New Roman" w:eastAsia="Times New Roman" w:hAnsi="Times New Roman"/>
          <w:sz w:val="19"/>
          <w:szCs w:val="19"/>
          <w:color w:val="auto"/>
        </w:rPr>
        <w:t>We may experience numerous unforeseen events during, or as a result of, clinical trials that could delay or prevent our ability to receive marketing approval or commercialize AXPAXLI or our other product candidates, including:</w:t>
      </w:r>
    </w:p>
    <w:p>
      <w:pPr>
        <w:spacing w:after="0" w:line="153" w:lineRule="exact"/>
        <w:rPr>
          <w:sz w:val="20"/>
          <w:szCs w:val="20"/>
          <w:color w:val="auto"/>
        </w:rPr>
      </w:pPr>
    </w:p>
    <w:p>
      <w:pPr>
        <w:ind w:left="860" w:right="220" w:hanging="363"/>
        <w:spacing w:after="0" w:line="270" w:lineRule="auto"/>
        <w:tabs>
          <w:tab w:leader="none" w:pos="86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clinical trials of AXPAXLI or our other product candidates may produce negative or inconclusive results, in particular if investigator physicians do not follow the clinical trial protocol, including utilizing appropriate masking and rescue procedures for the SOL and HELIOS registrational trials, and we may decide, or regulators may require us, to conduct additional clinical trials or abandon product development programs;</w:t>
      </w:r>
    </w:p>
    <w:p>
      <w:pPr>
        <w:spacing w:after="0" w:line="190" w:lineRule="exact"/>
        <w:rPr>
          <w:rFonts w:ascii="Arial" w:cs="Arial" w:eastAsia="Arial" w:hAnsi="Arial"/>
          <w:sz w:val="19"/>
          <w:szCs w:val="19"/>
          <w:color w:val="auto"/>
        </w:rPr>
      </w:pPr>
    </w:p>
    <w:p>
      <w:pPr>
        <w:jc w:val="both"/>
        <w:ind w:left="860" w:right="120" w:hanging="363"/>
        <w:spacing w:after="0" w:line="279" w:lineRule="auto"/>
        <w:tabs>
          <w:tab w:leader="none" w:pos="86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of subjects required for clinical trials of AXPAXLI or our other product candidates may be larger than we anticipate, in particular to establish clinically meaningful efficacy endpoints to a degree of statistical significance or to satisfy minimum FDA safety standards for AXPAXLI, including for repeat dosing;</w:t>
      </w:r>
    </w:p>
    <w:p>
      <w:pPr>
        <w:spacing w:after="0" w:line="179" w:lineRule="exact"/>
        <w:rPr>
          <w:rFonts w:ascii="Arial" w:cs="Arial" w:eastAsia="Arial" w:hAnsi="Arial"/>
          <w:sz w:val="19"/>
          <w:szCs w:val="19"/>
          <w:color w:val="auto"/>
        </w:rPr>
      </w:pPr>
    </w:p>
    <w:p>
      <w:pPr>
        <w:jc w:val="both"/>
        <w:ind w:left="860" w:right="20" w:hanging="363"/>
        <w:spacing w:after="0" w:line="279" w:lineRule="auto"/>
        <w:tabs>
          <w:tab w:leader="none" w:pos="86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enrollment and randomization in clinical trials for AXPAXLI may be slower than we anticipate on account of clinical trial sites’ inability to locate subjects meeting the eligibility criteria or competition at clinical trial sites for subjects who might otherwise be eligible to participate in other ongoing clinical trials sponsored by third-</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720"/>
          </w:cols>
          <w:pgMar w:left="1080" w:top="1064" w:right="1080" w:bottom="0" w:gutter="0" w:footer="0" w:header="0"/>
          <w:type w:val="continuous"/>
        </w:sectPr>
      </w:pPr>
    </w:p>
    <w:bookmarkStart w:id="71" w:name="page72"/>
    <w:bookmarkEnd w:id="71"/>
    <w:p>
      <w:pPr>
        <w:ind w:left="860" w:right="40"/>
        <w:spacing w:after="0" w:line="280" w:lineRule="auto"/>
        <w:rPr>
          <w:sz w:val="20"/>
          <w:szCs w:val="20"/>
          <w:color w:val="auto"/>
        </w:rPr>
      </w:pPr>
      <w:r>
        <w:rPr>
          <w:rFonts w:ascii="Times New Roman" w:cs="Times New Roman" w:eastAsia="Times New Roman" w:hAnsi="Times New Roman"/>
          <w:sz w:val="20"/>
          <w:szCs w:val="20"/>
          <w:color w:val="auto"/>
        </w:rPr>
        <w:t>parties or from other clinical trials sponsored by third parties in other retinal disease areas, or participants may drop out of these clinical trials at a higher rate than we anticipate;</w:t>
      </w:r>
    </w:p>
    <w:p>
      <w:pPr>
        <w:spacing w:after="0" w:line="179" w:lineRule="exact"/>
        <w:rPr>
          <w:sz w:val="20"/>
          <w:szCs w:val="20"/>
          <w:color w:val="auto"/>
        </w:rPr>
      </w:pPr>
    </w:p>
    <w:p>
      <w:pPr>
        <w:ind w:left="860" w:right="20" w:hanging="363"/>
        <w:spacing w:after="0" w:line="279" w:lineRule="auto"/>
        <w:tabs>
          <w:tab w:leader="none" w:pos="8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meet their obligations to us in a timely manner, or at all;</w:t>
      </w:r>
    </w:p>
    <w:p>
      <w:pPr>
        <w:spacing w:after="0" w:line="178" w:lineRule="exact"/>
        <w:rPr>
          <w:rFonts w:ascii="Arial" w:cs="Arial" w:eastAsia="Arial" w:hAnsi="Arial"/>
          <w:sz w:val="20"/>
          <w:szCs w:val="20"/>
          <w:color w:val="auto"/>
        </w:rPr>
      </w:pPr>
    </w:p>
    <w:p>
      <w:pPr>
        <w:ind w:left="860" w:right="60" w:hanging="363"/>
        <w:spacing w:after="0" w:line="279" w:lineRule="auto"/>
        <w:tabs>
          <w:tab w:leader="none" w:pos="8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institutional review boards may not authorize us or our investigators to commence a clinical trial or conduct a clinical trial at a prospective trial site;</w:t>
      </w:r>
    </w:p>
    <w:p>
      <w:pPr>
        <w:spacing w:after="0" w:line="178" w:lineRule="exact"/>
        <w:rPr>
          <w:rFonts w:ascii="Arial" w:cs="Arial" w:eastAsia="Arial" w:hAnsi="Arial"/>
          <w:sz w:val="20"/>
          <w:szCs w:val="20"/>
          <w:color w:val="auto"/>
        </w:rPr>
      </w:pPr>
    </w:p>
    <w:p>
      <w:pPr>
        <w:ind w:left="860" w:right="460" w:hanging="363"/>
        <w:spacing w:after="0" w:line="279" w:lineRule="auto"/>
        <w:tabs>
          <w:tab w:leader="none" w:pos="8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clinical trial contracts or clinical trial protocols with prospective trial sites;</w:t>
      </w:r>
    </w:p>
    <w:p>
      <w:pPr>
        <w:spacing w:after="0" w:line="179" w:lineRule="exact"/>
        <w:rPr>
          <w:rFonts w:ascii="Arial" w:cs="Arial" w:eastAsia="Arial" w:hAnsi="Arial"/>
          <w:sz w:val="20"/>
          <w:szCs w:val="20"/>
          <w:color w:val="auto"/>
        </w:rPr>
      </w:pPr>
    </w:p>
    <w:p>
      <w:pPr>
        <w:ind w:left="860" w:right="300" w:hanging="363"/>
        <w:spacing w:after="0" w:line="259" w:lineRule="auto"/>
        <w:tabs>
          <w:tab w:leader="none" w:pos="8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may decide, or regulators or institutional review boards may require us, to suspend or terminate clinical research for various reasons, including noncompliance with regulatory requirements or a finding that the participants are being exposed to unacceptable health risks;</w:t>
      </w:r>
    </w:p>
    <w:p>
      <w:pPr>
        <w:spacing w:after="0" w:line="198" w:lineRule="exact"/>
        <w:rPr>
          <w:rFonts w:ascii="Arial" w:cs="Arial" w:eastAsia="Arial" w:hAnsi="Arial"/>
          <w:sz w:val="20"/>
          <w:szCs w:val="20"/>
          <w:color w:val="auto"/>
        </w:rPr>
      </w:pPr>
    </w:p>
    <w:p>
      <w:pPr>
        <w:ind w:left="860" w:hanging="363"/>
        <w:spacing w:after="0"/>
        <w:tabs>
          <w:tab w:leader="none" w:pos="8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AXPAXLI or our other product candidates may be greater than we anticipate; and</w:t>
      </w:r>
    </w:p>
    <w:p>
      <w:pPr>
        <w:spacing w:after="0" w:line="252" w:lineRule="exact"/>
        <w:rPr>
          <w:rFonts w:ascii="Arial" w:cs="Arial" w:eastAsia="Arial" w:hAnsi="Arial"/>
          <w:sz w:val="20"/>
          <w:szCs w:val="20"/>
          <w:color w:val="auto"/>
        </w:rPr>
      </w:pPr>
    </w:p>
    <w:p>
      <w:pPr>
        <w:ind w:left="860" w:right="340" w:hanging="363"/>
        <w:spacing w:after="0" w:line="279" w:lineRule="auto"/>
        <w:tabs>
          <w:tab w:leader="none" w:pos="8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supply or quality of AXPAXLI or our other product candidates or other materials necessary to conduct clinical trials of AXPAXLI or our other product candidates may be insufficient or inadequate.</w:t>
      </w:r>
    </w:p>
    <w:p>
      <w:pPr>
        <w:spacing w:after="0" w:line="164"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From time to time, we may decide to conduct clinical trials to assess subjects’ clinical response to treatment and choose not to power such trials to measure the applicable efficacy endpoints with statistical significance, as we have for earlier stage clinical trials. In addition, post-hoc analyses of the data from these or other trials may not be predictive of success in future clinical trials, including as a result of differences in trial design. Post -hoc analyses performed using an unlocked clinical trial database can also result in the introduction of bias and are given less weight by regulatory authorities than pre-specified analyses.</w:t>
      </w:r>
    </w:p>
    <w:p>
      <w:pPr>
        <w:spacing w:after="0" w:line="194"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The FDA may also require that New Drug Application, or NDA, submissions for our product candidates include pediatric data. Under the Pediatric Research Equity Act, or PREA, an NDA, a biological licensing application, or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product candidates for which we are seeking regulatory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206" w:lineRule="exact"/>
        <w:rPr>
          <w:sz w:val="20"/>
          <w:szCs w:val="20"/>
          <w:color w:val="auto"/>
        </w:rPr>
      </w:pPr>
    </w:p>
    <w:p>
      <w:pPr>
        <w:ind w:right="20" w:firstLine="489"/>
        <w:spacing w:after="0" w:line="246"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AXPAXLI or our other product candidates beyond those that we currently contemplate, such as the FDA’s prior requirement that we provide post-approval pediatric data for DEXTENZA for the treatment of post-surgical ocular inflammation and pain following cataract surgery for the treatment of ocular itching associated with allergic conjunctivitis in connection with the approval of our NDA for DEXTENZA for those indications, if we are unable to successfully complete clinical trials of AXPAXLI or our other product candidates or other testing, if the results of these trials or tests are not favorable or are only modestly favorable or if there are safety concerns, we may:</w:t>
      </w:r>
    </w:p>
    <w:p>
      <w:pPr>
        <w:spacing w:after="0" w:line="215" w:lineRule="exact"/>
        <w:rPr>
          <w:sz w:val="20"/>
          <w:szCs w:val="20"/>
          <w:color w:val="auto"/>
        </w:rPr>
      </w:pPr>
    </w:p>
    <w:p>
      <w:pPr>
        <w:ind w:left="860" w:hanging="363"/>
        <w:spacing w:after="0"/>
        <w:tabs>
          <w:tab w:leader="none" w:pos="86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be delayed in obtaining or unable to obtain marketing approval for AXPAXLI or our other product candidates;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additional post-marketing testing requirements; or</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720"/>
          </w:cols>
          <w:pgMar w:left="1080" w:top="1064" w:right="1080" w:bottom="0" w:gutter="0" w:footer="0" w:header="0"/>
          <w:type w:val="continuous"/>
        </w:sectPr>
      </w:pPr>
    </w:p>
    <w:bookmarkStart w:id="72" w:name="page73"/>
    <w:bookmarkEnd w:id="72"/>
    <w:p>
      <w:pPr>
        <w:ind w:left="860" w:hanging="363"/>
        <w:spacing w:after="0"/>
        <w:tabs>
          <w:tab w:leader="none" w:pos="86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238" w:lineRule="exact"/>
        <w:rPr>
          <w:sz w:val="20"/>
          <w:szCs w:val="20"/>
          <w:color w:val="auto"/>
        </w:rPr>
      </w:pPr>
    </w:p>
    <w:p>
      <w:pPr>
        <w:ind w:right="20" w:firstLine="489"/>
        <w:spacing w:after="0" w:line="243" w:lineRule="auto"/>
        <w:rPr>
          <w:sz w:val="20"/>
          <w:szCs w:val="20"/>
          <w:color w:val="auto"/>
        </w:rPr>
      </w:pPr>
      <w:r>
        <w:rPr>
          <w:rFonts w:ascii="Times New Roman" w:cs="Times New Roman" w:eastAsia="Times New Roman" w:hAnsi="Times New Roman"/>
          <w:sz w:val="20"/>
          <w:szCs w:val="20"/>
          <w:color w:val="auto"/>
        </w:rPr>
        <w:t>For example, following recent public statements from FDA leadership, pending the receipt of favorable topline results and planned interactions with the FDA, we intend to submit an NDA for AXPAXLI for the treatment of wet AMD based on Week 52 data from the SOL-1 trial. As the FDA has historically required two adequate and well-controlled clinical trials to demonstrate the safety and efficacy of ophthalmic product candidates, the FDA could refuse to accept our submission of our NDA without clinical data from a second adequate and well-controlled trial or could accept it but review it differently or more slowly than we anticipate or could deny the application. In addition, we may not be able to timely satisfy the FDA’s other requirements for regulatory approval of AXPAXLI, including the FDA’s Chemistry, Manufacturing and Controls requirements. Furthermore, although patients in the SOL-1 have already been re-dosed at Week 52, data for the primary endpoint in SOL-1 is based on a single administration of AXPAXLI and therefore uncertainty remains as to what restrictions, if any, may be imposed on the label for AXPAXLI, if approved, pending the receipt of additional clinical data or otherwise. Any of these outcomes could adversely affect our time to approval, time to profitability, cash runway and results of operations.</w:t>
      </w:r>
    </w:p>
    <w:p>
      <w:pPr>
        <w:spacing w:after="0" w:line="200" w:lineRule="exact"/>
        <w:rPr>
          <w:sz w:val="20"/>
          <w:szCs w:val="20"/>
          <w:color w:val="auto"/>
        </w:rPr>
      </w:pPr>
    </w:p>
    <w:p>
      <w:pPr>
        <w:spacing w:after="0" w:line="23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and randomization of subjects in clinical trials of AXPAXLI or our other product candidates, our receipt of necessary regulatory approvals could be delayed or prevented.</w:t>
      </w:r>
    </w:p>
    <w:p>
      <w:pPr>
        <w:spacing w:after="0" w:line="165"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may not be able to initiate or to continue clinical trials for AXPAXLI or our other product candidates, or other product candidates that we might develop, if we are unable to locate, enroll and randomize a sufficient number of eligible subjects to participate in these trials as required by the FDA, the EMA or similar regulatory authorities outside the United States. Although there is a significant prevalence of disease in the areas of ophthalmology in which we are focused, we may nonetheless experience unanticipated difficulty with subject enrollment and randomization. For example, in the third quarter of 2017, we initiated a Phase 1 clinical trial of OTX-TIC outside the United States. After several months, after not enrolling any subjects, we closed this trial in the second quarter of 2018. Additionally, we intended to initiate our Phase 1 clinical trial of AXPAXLI outside the United States in 2018, but delays in enrollment prevented us from dosing subjects until the first quarter of 2019.</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variety of factors affect subject enrollment and randomization of clinical trials, including:</w:t>
      </w:r>
    </w:p>
    <w:p>
      <w:pPr>
        <w:spacing w:after="0" w:line="255" w:lineRule="exact"/>
        <w:rPr>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the ophthalmic disease or condition under investigation;</w:t>
      </w:r>
    </w:p>
    <w:p>
      <w:pPr>
        <w:spacing w:after="0" w:line="252" w:lineRule="exact"/>
        <w:rPr>
          <w:rFonts w:ascii="Arial" w:cs="Arial" w:eastAsia="Arial" w:hAnsi="Arial"/>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and eligibility criteria for the study in question;</w:t>
      </w:r>
    </w:p>
    <w:p>
      <w:pPr>
        <w:spacing w:after="0" w:line="253" w:lineRule="exact"/>
        <w:rPr>
          <w:rFonts w:ascii="Arial" w:cs="Arial" w:eastAsia="Arial" w:hAnsi="Arial"/>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perceived risks and benefits of the product candidate under study;</w:t>
      </w:r>
    </w:p>
    <w:p>
      <w:pPr>
        <w:spacing w:after="0" w:line="253" w:lineRule="exact"/>
        <w:rPr>
          <w:rFonts w:ascii="Arial" w:cs="Arial" w:eastAsia="Arial" w:hAnsi="Arial"/>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efforts to facilitate timely enrollment in clinical trials;</w:t>
      </w:r>
    </w:p>
    <w:p>
      <w:pPr>
        <w:spacing w:after="0" w:line="252" w:lineRule="exact"/>
        <w:rPr>
          <w:rFonts w:ascii="Arial" w:cs="Arial" w:eastAsia="Arial" w:hAnsi="Arial"/>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patient referral practices of physicians;</w:t>
      </w:r>
    </w:p>
    <w:p>
      <w:pPr>
        <w:spacing w:after="0" w:line="253" w:lineRule="exact"/>
        <w:rPr>
          <w:rFonts w:ascii="Arial" w:cs="Arial" w:eastAsia="Arial" w:hAnsi="Arial"/>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252" w:lineRule="exact"/>
        <w:rPr>
          <w:rFonts w:ascii="Arial" w:cs="Arial" w:eastAsia="Arial" w:hAnsi="Arial"/>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proximity and availability of clinical trial sites for prospective subjects;</w:t>
      </w:r>
    </w:p>
    <w:p>
      <w:pPr>
        <w:spacing w:after="0" w:line="253" w:lineRule="exact"/>
        <w:rPr>
          <w:rFonts w:ascii="Arial" w:cs="Arial" w:eastAsia="Arial" w:hAnsi="Arial"/>
          <w:sz w:val="20"/>
          <w:szCs w:val="20"/>
          <w:color w:val="auto"/>
        </w:rPr>
      </w:pPr>
    </w:p>
    <w:p>
      <w:pPr>
        <w:ind w:left="860" w:hanging="362"/>
        <w:spacing w:after="0" w:line="279" w:lineRule="auto"/>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threatened public health emergencies or outbreaks of disease (including, for example, the COVID-19 pandemic);</w:t>
      </w:r>
    </w:p>
    <w:p>
      <w:pPr>
        <w:spacing w:after="0" w:line="178" w:lineRule="exact"/>
        <w:rPr>
          <w:rFonts w:ascii="Arial" w:cs="Arial" w:eastAsia="Arial" w:hAnsi="Arial"/>
          <w:sz w:val="20"/>
          <w:szCs w:val="20"/>
          <w:color w:val="auto"/>
        </w:rPr>
      </w:pPr>
    </w:p>
    <w:p>
      <w:pPr>
        <w:ind w:left="860" w:right="120" w:hanging="362"/>
        <w:spacing w:after="0" w:line="260" w:lineRule="auto"/>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conduct of clinical trials by competitors for product candidates that treat the same indications as our product candidates or other indications that are treated by the same physicians who participate in our clinical trials; and</w:t>
      </w:r>
    </w:p>
    <w:p>
      <w:pPr>
        <w:spacing w:after="0" w:line="196" w:lineRule="exact"/>
        <w:rPr>
          <w:rFonts w:ascii="Arial" w:cs="Arial" w:eastAsia="Arial" w:hAnsi="Arial"/>
          <w:sz w:val="20"/>
          <w:szCs w:val="20"/>
          <w:color w:val="auto"/>
        </w:rPr>
      </w:pPr>
    </w:p>
    <w:p>
      <w:pPr>
        <w:ind w:left="860" w:hanging="362"/>
        <w:spacing w:after="0"/>
        <w:tabs>
          <w:tab w:leader="none" w:pos="8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adequate compensation for prospective clinical trial sites or subjects.</w:t>
      </w:r>
    </w:p>
    <w:p>
      <w:pPr>
        <w:spacing w:after="0" w:line="238" w:lineRule="exact"/>
        <w:rPr>
          <w:sz w:val="20"/>
          <w:szCs w:val="20"/>
          <w:color w:val="auto"/>
        </w:rPr>
      </w:pPr>
    </w:p>
    <w:p>
      <w:pPr>
        <w:ind w:right="300" w:firstLine="490"/>
        <w:spacing w:after="0" w:line="280" w:lineRule="auto"/>
        <w:rPr>
          <w:sz w:val="20"/>
          <w:szCs w:val="20"/>
          <w:color w:val="auto"/>
        </w:rPr>
      </w:pPr>
      <w:r>
        <w:rPr>
          <w:rFonts w:ascii="Times New Roman" w:cs="Times New Roman" w:eastAsia="Times New Roman" w:hAnsi="Times New Roman"/>
          <w:sz w:val="20"/>
          <w:szCs w:val="20"/>
          <w:color w:val="auto"/>
        </w:rPr>
        <w:t>In December 2022, with the passage of FDORA, Congress required sponsors to develop and submit a diversity action plan, or DAP, for each phase 3 clinical trial or any other “pivotal study” of a new drug or biological product.</w:t>
      </w:r>
    </w:p>
    <w:p>
      <w:pPr>
        <w:sectPr>
          <w:pgSz w:w="11880" w:h="15480" w:orient="portrait"/>
          <w:cols w:equalWidth="0" w:num="1">
            <w:col w:w="9680"/>
          </w:cols>
          <w:pgMar w:left="1080" w:top="1080" w:right="112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680"/>
          </w:cols>
          <w:pgMar w:left="1080" w:top="1080" w:right="1120" w:bottom="0" w:gutter="0" w:footer="0" w:header="0"/>
          <w:type w:val="continuous"/>
        </w:sectPr>
      </w:pPr>
    </w:p>
    <w:bookmarkStart w:id="73" w:name="page74"/>
    <w:bookmarkEnd w:id="73"/>
    <w:p>
      <w:pPr>
        <w:ind w:right="300"/>
        <w:spacing w:after="0" w:line="260" w:lineRule="auto"/>
        <w:rPr>
          <w:sz w:val="20"/>
          <w:szCs w:val="20"/>
          <w:color w:val="auto"/>
        </w:rPr>
      </w:pPr>
      <w:r>
        <w:rPr>
          <w:rFonts w:ascii="Times New Roman" w:cs="Times New Roman" w:eastAsia="Times New Roman" w:hAnsi="Times New Roman"/>
          <w:sz w:val="20"/>
          <w:szCs w:val="20"/>
          <w:color w:val="auto"/>
        </w:rPr>
        <w:t>These plans are meant to encourage the enrollment of more diverse patient populations in late-stage clinical trials of FDA-regulated products. In June 2024, as mandated by FDORA, the FDA issued draft guidance outlining the general requirements for DAPs.</w:t>
      </w:r>
    </w:p>
    <w:p>
      <w:pPr>
        <w:spacing w:after="0" w:line="18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On January 27, 2025, in response to an executive order issued by President Trump on January 21, 2025, relating to Diversity, Equity and Inclusion programs, the FDA removed the draft DAP guidance from its website. That action, along with similar actions by the Trump Administration to remove many other healthcare webpages, is currently the subject of ongoing litigation. On July 3, 2025, the U.S. District Court for the District of Columbia ruled that the Trump Administration’s actions to remove these webpages, including the draft DAP guidance, is unlawful under the Administrative Procedure Act.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NDAs and BLAs. Similarly, the regulatory landscape related to clinical trials in the European Union recently evolved. The EU Clinical Trials Regulation, or CTR, which was adopted in April 2014 and repeals the EU Clinical Trials Directive, became applicable on January 31, 2022. While the Clinical Trials Directive required a separate clinical trial application to be submitted in each member state, to both the competent national health authority and an independent ethics committee, the CTR introduces a centralized process and only requires the submission of a single application to all member states concerned. If we are not able to fulfill these new requirements, our ability to conduct clinical trials may be delayed or halted.</w:t>
      </w:r>
    </w:p>
    <w:p>
      <w:pPr>
        <w:spacing w:after="0" w:line="211"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Delays can be more pronounced with later-stage clinical trials because they tend to be larger than early -stage trials. For example, enrollment in our Phase 3 clinical trial to evaluate DEXTENZA in pediatric subjects following cataract surgery, to fulfill FDA post-approval regulatory requirements, proceeded more slowly than we had anticipated due to the relative scarcity of pediatric cataract surgical subjects.</w:t>
      </w:r>
    </w:p>
    <w:p>
      <w:pPr>
        <w:spacing w:after="0" w:line="190" w:lineRule="exact"/>
        <w:rPr>
          <w:sz w:val="20"/>
          <w:szCs w:val="20"/>
          <w:color w:val="auto"/>
        </w:rPr>
      </w:pPr>
    </w:p>
    <w:p>
      <w:pPr>
        <w:ind w:right="280" w:firstLine="490"/>
        <w:spacing w:after="0" w:line="250" w:lineRule="auto"/>
        <w:rPr>
          <w:sz w:val="20"/>
          <w:szCs w:val="20"/>
          <w:color w:val="auto"/>
        </w:rPr>
      </w:pPr>
      <w:r>
        <w:rPr>
          <w:rFonts w:ascii="Times New Roman" w:cs="Times New Roman" w:eastAsia="Times New Roman" w:hAnsi="Times New Roman"/>
          <w:sz w:val="20"/>
          <w:szCs w:val="20"/>
          <w:color w:val="auto"/>
        </w:rPr>
        <w:t>Our inability to enroll and randomize a sufficient number of subjects in any of our clinical trials would result in significant delays, could require us to abandon one or more clinical trials altogether and could delay or prevent our receipt of necessary regulatory approvals. Enrollment and randomization delays in our clinical trials may result in increased development costs for our product candidates, which could cause the value of our common stock to decline and limit our ability to obtain additional financing.</w:t>
      </w:r>
    </w:p>
    <w:p>
      <w:pPr>
        <w:spacing w:after="0" w:line="195"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serious adverse or unacceptable side effects are identified during the development of AXPAXLI or any other product candidates, we may need to abandon or limit our development of such product candidates.</w:t>
      </w:r>
    </w:p>
    <w:p>
      <w:pPr>
        <w:spacing w:after="0" w:line="165"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If AXPAXLI or any of our other product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191" w:lineRule="exact"/>
        <w:rPr>
          <w:sz w:val="20"/>
          <w:szCs w:val="20"/>
          <w:color w:val="auto"/>
        </w:rPr>
      </w:pPr>
    </w:p>
    <w:p>
      <w:pPr>
        <w:ind w:right="60" w:firstLine="489"/>
        <w:spacing w:after="0" w:line="250" w:lineRule="auto"/>
        <w:rPr>
          <w:sz w:val="20"/>
          <w:szCs w:val="20"/>
          <w:color w:val="auto"/>
        </w:rPr>
      </w:pPr>
      <w:r>
        <w:rPr>
          <w:rFonts w:ascii="Times New Roman" w:cs="Times New Roman" w:eastAsia="Times New Roman" w:hAnsi="Times New Roman"/>
          <w:sz w:val="20"/>
          <w:szCs w:val="20"/>
          <w:color w:val="auto"/>
        </w:rPr>
        <w:t>Many compounds that initially showed promise in clinical or early-stage testing for treating ophthalmic disease have later been found to cause side effects that prevented further development or successful commercialization of the compound. As the number of subjects exposed to a product candidate or approved product increases, new safety signals undetectable in smaller patient populations may become apparent. In addition, adverse events which had initially been considered unrelated to the study treatment may later be found to be caused by the study treatment.</w:t>
      </w:r>
    </w:p>
    <w:p>
      <w:pPr>
        <w:spacing w:after="0" w:line="194"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develop additional products and product candidates based on our proprietary bioresorbable hydrogel-based formulation technology ELUTYX.</w:t>
      </w:r>
    </w:p>
    <w:p>
      <w:pPr>
        <w:spacing w:after="0" w:line="165"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20"/>
          <w:szCs w:val="20"/>
          <w:color w:val="auto"/>
        </w:rPr>
        <w:t>We are currently directing all of our development efforts towards applying our proprietary, bioresorbable hydrogel-based formulation technology ELUTYX to products and product candidates that are designed to provide local programmed-release hydrogel-based therapeutic agents to the eye. We have product candidates at mid- and late-stages of development based on ELUTYX and we may in the future explore the potential use of ELUTYX for other ophthalmic diseases and conditions.</w:t>
      </w:r>
    </w:p>
    <w:p>
      <w:pPr>
        <w:spacing w:after="0" w:line="192" w:lineRule="exact"/>
        <w:rPr>
          <w:sz w:val="20"/>
          <w:szCs w:val="20"/>
          <w:color w:val="auto"/>
        </w:rPr>
      </w:pPr>
    </w:p>
    <w:p>
      <w:pPr>
        <w:ind w:right="20" w:firstLine="490"/>
        <w:spacing w:after="0" w:line="280" w:lineRule="auto"/>
        <w:rPr>
          <w:sz w:val="20"/>
          <w:szCs w:val="20"/>
          <w:color w:val="auto"/>
        </w:rPr>
      </w:pPr>
      <w:r>
        <w:rPr>
          <w:rFonts w:ascii="Times New Roman" w:cs="Times New Roman" w:eastAsia="Times New Roman" w:hAnsi="Times New Roman"/>
          <w:sz w:val="20"/>
          <w:szCs w:val="20"/>
          <w:color w:val="auto"/>
        </w:rPr>
        <w:t>AXPAXLI and any other product candidates that we may develop based on ELUTYX may not be suitable for continued preclinical or clinical development for several reasons, including if such product candidates are shown to have</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700"/>
          </w:cols>
          <w:pgMar w:left="1080" w:top="1064" w:right="1100" w:bottom="0" w:gutter="0" w:footer="0" w:header="0"/>
          <w:type w:val="continuous"/>
        </w:sectPr>
      </w:pPr>
    </w:p>
    <w:bookmarkStart w:id="74" w:name="page75"/>
    <w:bookmarkEnd w:id="74"/>
    <w:p>
      <w:pPr>
        <w:ind w:right="40"/>
        <w:spacing w:after="0" w:line="253" w:lineRule="auto"/>
        <w:rPr>
          <w:sz w:val="20"/>
          <w:szCs w:val="20"/>
          <w:color w:val="auto"/>
        </w:rPr>
      </w:pPr>
      <w:r>
        <w:rPr>
          <w:rFonts w:ascii="Times New Roman" w:cs="Times New Roman" w:eastAsia="Times New Roman" w:hAnsi="Times New Roman"/>
          <w:sz w:val="20"/>
          <w:szCs w:val="20"/>
          <w:color w:val="auto"/>
        </w:rPr>
        <w:t>harmful side effects or other characteristics that indicate that they are unlikely to be products that will receive marketing approval and achieve market acceptance. If we do not successfully develop and commercialize products and product candidates that are based on ELUTYX beyond DEXTENZA, we will not be able to obtain sufficient product revenues to ultimately become profitable.</w:t>
      </w:r>
    </w:p>
    <w:p>
      <w:pPr>
        <w:spacing w:after="0" w:line="1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5" w:lineRule="exact"/>
        <w:rPr>
          <w:sz w:val="20"/>
          <w:szCs w:val="20"/>
          <w:color w:val="auto"/>
        </w:rPr>
      </w:pPr>
    </w:p>
    <w:p>
      <w:pPr>
        <w:ind w:right="60" w:firstLine="489"/>
        <w:spacing w:after="0" w:line="246"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In addition, if we do not accurately evaluate the commercial potential of a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1" w:lineRule="exact"/>
        <w:rPr>
          <w:sz w:val="20"/>
          <w:szCs w:val="20"/>
          <w:color w:val="auto"/>
        </w:rPr>
      </w:pPr>
    </w:p>
    <w:p>
      <w:pPr>
        <w:ind w:right="220" w:firstLine="489"/>
        <w:spacing w:after="0" w:line="248" w:lineRule="auto"/>
        <w:rPr>
          <w:sz w:val="20"/>
          <w:szCs w:val="20"/>
          <w:color w:val="auto"/>
        </w:rPr>
      </w:pPr>
      <w:r>
        <w:rPr>
          <w:rFonts w:ascii="Times New Roman" w:cs="Times New Roman" w:eastAsia="Times New Roman" w:hAnsi="Times New Roman"/>
          <w:sz w:val="20"/>
          <w:szCs w:val="20"/>
          <w:color w:val="auto"/>
        </w:rPr>
        <w:t>We are currently prioritizing the advancement of AXPAXLI through Phase 3 clinical development for the treatment of wet AMD and for the treatment of diabetic retinal disease, as well as the scale-up of manufacturing operations and pre-commercialization activities to prepare for the potential commercial launch of AXPAXLI. We are also focused on the continued commercialization of DEXTENZA and are determining our next steps for OTX -TIC for the treatment of OAG or OHT. Although we believe our prioritization of resources is currently the best use of our resources, we may not be correct.</w:t>
      </w:r>
    </w:p>
    <w:p>
      <w:pPr>
        <w:spacing w:after="0" w:line="19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conducted, and may in the future conduct, clinical trials for AXPAXLI and our other product candidates at sites outside the United States, and the FDA may not accept data from trials conducted in such locations.</w:t>
      </w:r>
    </w:p>
    <w:p>
      <w:pPr>
        <w:spacing w:after="0" w:line="165"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20"/>
          <w:szCs w:val="20"/>
          <w:color w:val="auto"/>
        </w:rPr>
        <w:t>We have conducted, and may in the future choose to conduct, one or more of our clinical trials outside the United States. We are currently conducting the SOL-1, SOL-R, and HELIOS-3 trials both inside and outside of the United States.</w:t>
      </w:r>
    </w:p>
    <w:p>
      <w:pPr>
        <w:spacing w:after="0" w:line="18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Other risks inherent in conducting international clinical trials include:</w:t>
      </w:r>
    </w:p>
    <w:p>
      <w:pPr>
        <w:spacing w:after="0" w:line="254" w:lineRule="exact"/>
        <w:rPr>
          <w:sz w:val="20"/>
          <w:szCs w:val="20"/>
          <w:color w:val="auto"/>
        </w:rPr>
      </w:pPr>
    </w:p>
    <w:p>
      <w:pPr>
        <w:ind w:left="860" w:right="300" w:hanging="363"/>
        <w:spacing w:after="0" w:line="279" w:lineRule="auto"/>
        <w:tabs>
          <w:tab w:leader="none" w:pos="86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foreign regulatory requirements, differences in healthcare services, and differences in cultural customs that could restrict or limit our ability to conduct our clinical trials;</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administrative burdens of conducting clinical trials under multiple sets of foreign regulations;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foreign exchange fluctuations;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diminished protection of intellectual property in some countries; and</w:t>
      </w:r>
    </w:p>
    <w:p>
      <w:pPr>
        <w:spacing w:after="0" w:line="252" w:lineRule="exact"/>
        <w:rPr>
          <w:rFonts w:ascii="Arial" w:cs="Arial" w:eastAsia="Arial" w:hAnsi="Arial"/>
          <w:sz w:val="20"/>
          <w:szCs w:val="20"/>
          <w:color w:val="auto"/>
        </w:rPr>
      </w:pPr>
    </w:p>
    <w:p>
      <w:pPr>
        <w:ind w:left="860" w:hanging="362"/>
        <w:spacing w:after="0"/>
        <w:tabs>
          <w:tab w:leader="none" w:pos="86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and economic risks relevant to foreign countries.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700"/>
          </w:cols>
          <w:pgMar w:left="1080" w:top="1064" w:right="110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244"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depend heavily on the success of DEXTENZA and any of our product candidates for which we may obtain marketing approval, including AXPAXLI. If we fail to commercialize these products successfully, our ability to generate significant product revenues and our business would be materially harmed.</w:t>
      </w:r>
    </w:p>
    <w:p>
      <w:pPr>
        <w:spacing w:after="0" w:line="184" w:lineRule="exact"/>
        <w:rPr>
          <w:sz w:val="20"/>
          <w:szCs w:val="20"/>
          <w:color w:val="auto"/>
        </w:rPr>
      </w:pPr>
    </w:p>
    <w:p>
      <w:pPr>
        <w:ind w:right="240" w:firstLine="490"/>
        <w:spacing w:after="0" w:line="280" w:lineRule="auto"/>
        <w:rPr>
          <w:sz w:val="20"/>
          <w:szCs w:val="20"/>
          <w:color w:val="auto"/>
        </w:rPr>
      </w:pPr>
      <w:r>
        <w:rPr>
          <w:rFonts w:ascii="Times New Roman" w:cs="Times New Roman" w:eastAsia="Times New Roman" w:hAnsi="Times New Roman"/>
          <w:sz w:val="20"/>
          <w:szCs w:val="20"/>
          <w:color w:val="auto"/>
        </w:rPr>
        <w:t>The commercial success of DEXTENZA and any of our product candidates for which we may obtain marketing approval, including AXPAXLI, will depend on many factors, including the following:</w:t>
      </w:r>
    </w:p>
    <w:p>
      <w:pPr>
        <w:spacing w:after="0" w:line="179" w:lineRule="exact"/>
        <w:rPr>
          <w:sz w:val="20"/>
          <w:szCs w:val="20"/>
          <w:color w:val="auto"/>
        </w:rPr>
      </w:pPr>
    </w:p>
    <w:p>
      <w:pPr>
        <w:ind w:left="860" w:hanging="363"/>
        <w:spacing w:after="0"/>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completion of preclinical studies and clinical trials;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applying for and receiving and maintaining marketing approvals from applicable regulatory authorities;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scaling up our manufacturing processes and capabilities to support commercialization efforts;</w:t>
      </w:r>
    </w:p>
    <w:p>
      <w:pPr>
        <w:spacing w:after="0" w:line="252" w:lineRule="exact"/>
        <w:rPr>
          <w:rFonts w:ascii="Arial" w:cs="Arial" w:eastAsia="Arial" w:hAnsi="Arial"/>
          <w:sz w:val="20"/>
          <w:szCs w:val="20"/>
          <w:color w:val="auto"/>
        </w:rPr>
      </w:pPr>
    </w:p>
    <w:p>
      <w:pPr>
        <w:ind w:left="860" w:right="220" w:hanging="363"/>
        <w:spacing w:after="0" w:line="279" w:lineRule="auto"/>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validating and maintaining a commercially viable manufacturing process that is compliant with current good manufacturing practices, or cGMP;</w:t>
      </w:r>
    </w:p>
    <w:p>
      <w:pPr>
        <w:spacing w:after="0" w:line="178" w:lineRule="exact"/>
        <w:rPr>
          <w:rFonts w:ascii="Arial" w:cs="Arial" w:eastAsia="Arial" w:hAnsi="Arial"/>
          <w:sz w:val="20"/>
          <w:szCs w:val="20"/>
          <w:color w:val="auto"/>
        </w:rPr>
      </w:pPr>
    </w:p>
    <w:p>
      <w:pPr>
        <w:ind w:left="860" w:right="80" w:hanging="363"/>
        <w:spacing w:after="0" w:line="279" w:lineRule="auto"/>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our sales, marketing and distribution capabilities and launching commercial sales of our products, if and when approved, whether alone or in collaboration with others;</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partnering successfully with our current and future collaborators;</w:t>
      </w:r>
    </w:p>
    <w:p>
      <w:pPr>
        <w:spacing w:after="0" w:line="252" w:lineRule="exact"/>
        <w:rPr>
          <w:rFonts w:ascii="Arial" w:cs="Arial" w:eastAsia="Arial" w:hAnsi="Arial"/>
          <w:sz w:val="20"/>
          <w:szCs w:val="20"/>
          <w:color w:val="auto"/>
        </w:rPr>
      </w:pPr>
    </w:p>
    <w:p>
      <w:pPr>
        <w:ind w:left="860" w:hanging="363"/>
        <w:spacing w:after="0" w:line="260" w:lineRule="auto"/>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gaining acceptance of our products, if and when approved, by patients, the medical community and third-party payors, competing effectively with other therapies, and obtaining and maintaining coverage and adequate reimbursement from third-party payors;</w:t>
      </w:r>
    </w:p>
    <w:p>
      <w:pPr>
        <w:spacing w:after="0" w:line="197" w:lineRule="exact"/>
        <w:rPr>
          <w:rFonts w:ascii="Arial" w:cs="Arial" w:eastAsia="Arial" w:hAnsi="Arial"/>
          <w:sz w:val="20"/>
          <w:szCs w:val="20"/>
          <w:color w:val="auto"/>
        </w:rPr>
      </w:pPr>
    </w:p>
    <w:p>
      <w:pPr>
        <w:ind w:left="860" w:hanging="363"/>
        <w:spacing w:after="0"/>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 continued acceptable safety profile of our products following approval; and</w:t>
      </w:r>
    </w:p>
    <w:p>
      <w:pPr>
        <w:spacing w:after="0" w:line="252" w:lineRule="exact"/>
        <w:rPr>
          <w:rFonts w:ascii="Arial" w:cs="Arial" w:eastAsia="Arial" w:hAnsi="Arial"/>
          <w:sz w:val="20"/>
          <w:szCs w:val="20"/>
          <w:color w:val="auto"/>
        </w:rPr>
      </w:pPr>
    </w:p>
    <w:p>
      <w:pPr>
        <w:ind w:left="860" w:right="700" w:hanging="363"/>
        <w:spacing w:after="0" w:line="279" w:lineRule="auto"/>
        <w:tabs>
          <w:tab w:leader="none" w:pos="86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protecting our intellectual property rights, including obtaining and maintaining patent and trade secret protection and regulatory exclusivity.</w:t>
      </w:r>
    </w:p>
    <w:p>
      <w:pPr>
        <w:spacing w:after="0" w:line="164" w:lineRule="exact"/>
        <w:rPr>
          <w:sz w:val="20"/>
          <w:szCs w:val="20"/>
          <w:color w:val="auto"/>
        </w:rPr>
      </w:pPr>
    </w:p>
    <w:p>
      <w:pPr>
        <w:ind w:right="60" w:firstLine="489"/>
        <w:spacing w:after="0" w:line="253" w:lineRule="auto"/>
        <w:rPr>
          <w:sz w:val="20"/>
          <w:szCs w:val="20"/>
          <w:color w:val="auto"/>
        </w:rPr>
      </w:pPr>
      <w:r>
        <w:rPr>
          <w:rFonts w:ascii="Times New Roman" w:cs="Times New Roman" w:eastAsia="Times New Roman" w:hAnsi="Times New Roman"/>
          <w:sz w:val="20"/>
          <w:szCs w:val="20"/>
          <w:color w:val="auto"/>
        </w:rPr>
        <w:t>In certain cases, such as in our ongoing collaboration with AffaMed, many of these factors may be or are beyond our control, including clinical development and sales, marketing and distribution efforts. If we or our collaborators do not achieve one or more of these factors in a timely manner or at all, we could experience significant delays or an inability to successfully commercialize our products and product candidates, which would materially harm our business.</w:t>
      </w:r>
    </w:p>
    <w:p>
      <w:pPr>
        <w:spacing w:after="0" w:line="19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though DEXTENZA has received marketing approval from the FDA and even if AXPAXLI or any of our other product candidates receives marketing approval, these products may fail to achieve the degree of market acceptance by physicians, patients, third-party payors and others in the medical community necessary for commercial success, and the market opportunity for these products may be smaller than we estimate.</w:t>
      </w:r>
    </w:p>
    <w:p>
      <w:pPr>
        <w:spacing w:after="0" w:line="192" w:lineRule="exact"/>
        <w:rPr>
          <w:sz w:val="20"/>
          <w:szCs w:val="20"/>
          <w:color w:val="auto"/>
        </w:rPr>
      </w:pPr>
    </w:p>
    <w:p>
      <w:pPr>
        <w:ind w:right="180" w:firstLine="490"/>
        <w:spacing w:after="0" w:line="250" w:lineRule="auto"/>
        <w:rPr>
          <w:sz w:val="20"/>
          <w:szCs w:val="20"/>
          <w:color w:val="auto"/>
        </w:rPr>
      </w:pPr>
      <w:r>
        <w:rPr>
          <w:rFonts w:ascii="Times New Roman" w:cs="Times New Roman" w:eastAsia="Times New Roman" w:hAnsi="Times New Roman"/>
          <w:sz w:val="20"/>
          <w:szCs w:val="20"/>
          <w:color w:val="auto"/>
        </w:rPr>
        <w:t>DEXTENZA or any of our product candidates that may receive marketing approval, including AXPAXLI, may fail to gain market acceptance by physicians, patients, third-party payors and others in the medical community. We commercially launched DEXTENZA for the treatment of post-surgical ocular inflammation and pain in July 2019, and for the treatment of ocular itching associated with allergic conjunctivitis in the first quarter of 2022, and we cannot accurately predict the extent to which DEXTENZA will retain or gain market share.</w:t>
      </w:r>
    </w:p>
    <w:p>
      <w:pPr>
        <w:spacing w:after="0" w:line="193" w:lineRule="exact"/>
        <w:rPr>
          <w:sz w:val="20"/>
          <w:szCs w:val="20"/>
          <w:color w:val="auto"/>
        </w:rPr>
      </w:pPr>
    </w:p>
    <w:p>
      <w:pPr>
        <w:ind w:right="600" w:firstLine="490"/>
        <w:spacing w:after="0" w:line="280" w:lineRule="auto"/>
        <w:rPr>
          <w:sz w:val="20"/>
          <w:szCs w:val="20"/>
          <w:color w:val="auto"/>
        </w:rPr>
      </w:pPr>
      <w:r>
        <w:rPr>
          <w:rFonts w:ascii="Times New Roman" w:cs="Times New Roman" w:eastAsia="Times New Roman" w:hAnsi="Times New Roman"/>
          <w:sz w:val="20"/>
          <w:szCs w:val="20"/>
          <w:color w:val="auto"/>
        </w:rPr>
        <w:t>The degree of market acceptance of any of our products, or any product candidate for which we may obtain marketing approval, including AXPAXLI, will depend on a number of factors, including:</w:t>
      </w:r>
    </w:p>
    <w:p>
      <w:pPr>
        <w:spacing w:after="0" w:line="177" w:lineRule="exact"/>
        <w:rPr>
          <w:sz w:val="20"/>
          <w:szCs w:val="20"/>
          <w:color w:val="auto"/>
        </w:rPr>
      </w:pPr>
    </w:p>
    <w:p>
      <w:pPr>
        <w:ind w:left="860" w:hanging="363"/>
        <w:spacing w:after="0"/>
        <w:tabs>
          <w:tab w:leader="none" w:pos="86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potential advantages compared to alternative treatments;</w:t>
      </w:r>
    </w:p>
    <w:p>
      <w:pPr>
        <w:spacing w:after="0" w:line="252" w:lineRule="exact"/>
        <w:rPr>
          <w:rFonts w:ascii="Arial" w:cs="Arial" w:eastAsia="Arial" w:hAnsi="Arial"/>
          <w:sz w:val="20"/>
          <w:szCs w:val="20"/>
          <w:color w:val="auto"/>
        </w:rPr>
      </w:pPr>
    </w:p>
    <w:p>
      <w:pPr>
        <w:ind w:left="860" w:right="700" w:hanging="363"/>
        <w:spacing w:after="0" w:line="279" w:lineRule="auto"/>
        <w:tabs>
          <w:tab w:leader="none" w:pos="86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offer our products for sale at competitive prices, particularly in light of the lower cost of alternative treatments;</w:t>
      </w:r>
    </w:p>
    <w:p>
      <w:pPr>
        <w:sectPr>
          <w:pgSz w:w="11880" w:h="15480" w:orient="portrait"/>
          <w:cols w:equalWidth="0" w:num="1">
            <w:col w:w="9700"/>
          </w:cols>
          <w:pgMar w:left="1080" w:top="1062"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700"/>
          </w:cols>
          <w:pgMar w:left="1080" w:top="1062" w:right="1100" w:bottom="0" w:gutter="0" w:footer="0" w:header="0"/>
          <w:type w:val="continuous"/>
        </w:sectPr>
      </w:pPr>
    </w:p>
    <w:bookmarkStart w:id="76" w:name="page77"/>
    <w:bookmarkEnd w:id="76"/>
    <w:p>
      <w:pPr>
        <w:ind w:left="860" w:hanging="363"/>
        <w:spacing w:after="0"/>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the product is approved;</w:t>
      </w:r>
    </w:p>
    <w:p>
      <w:pPr>
        <w:spacing w:after="0" w:line="252" w:lineRule="exact"/>
        <w:rPr>
          <w:rFonts w:ascii="Arial" w:cs="Arial" w:eastAsia="Arial" w:hAnsi="Arial"/>
          <w:sz w:val="20"/>
          <w:szCs w:val="20"/>
          <w:color w:val="auto"/>
        </w:rPr>
      </w:pPr>
    </w:p>
    <w:p>
      <w:pPr>
        <w:ind w:left="860" w:right="20" w:hanging="363"/>
        <w:spacing w:after="0" w:line="279" w:lineRule="auto"/>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convenience and ease of administration compared to alternative treatments, including the retention rate for our intracanalicular insert product;</w:t>
      </w:r>
    </w:p>
    <w:p>
      <w:pPr>
        <w:spacing w:after="0" w:line="178" w:lineRule="exact"/>
        <w:rPr>
          <w:rFonts w:ascii="Arial" w:cs="Arial" w:eastAsia="Arial" w:hAnsi="Arial"/>
          <w:sz w:val="20"/>
          <w:szCs w:val="20"/>
          <w:color w:val="auto"/>
        </w:rPr>
      </w:pPr>
    </w:p>
    <w:p>
      <w:pPr>
        <w:ind w:left="860" w:right="580" w:hanging="363"/>
        <w:spacing w:after="0" w:line="279" w:lineRule="auto"/>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our marketing and distribution support;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timing of market introduction of competitive products;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of the product, as well as the availability of third-party coverage and adequate reimbursement;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 and</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any restrictions on the use of our products together with other medications.</w:t>
      </w:r>
    </w:p>
    <w:p>
      <w:pPr>
        <w:spacing w:after="0" w:line="23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For example, we commercially launched ReSure Sealant, a topical liquid hydrogel that creates a temporary, adherent, soft and lubricious sealant to prevent post-surgical leakage from clear corneal incisions that are made during cataract surgery, in the United States in 2014. ReSure Sealant was only used in a minority of cataract surgeries, and we only received limited revenues from this product. In 2021, we suspended production of ReSure Sealant, and in 2025 we withdrew its marketing authorization. Furthermore, because we have not conducted any clinical trials to date comparing the effectiveness of DEXTENZA directly to currently approved alternative treatments for post-surgical ocular inflammation and pain following cataract surgery or ocular itching associated with allergic conjunctivitis, market acceptance of DEXTENZA could be less than if we had conducted such trials, and we may not be able to achieve the market share we anticipate.</w:t>
      </w:r>
    </w:p>
    <w:p>
      <w:pPr>
        <w:spacing w:after="0" w:line="1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Our assessment of the potential market opportunity for DEXTENZA and our product candidates, including</w:t>
      </w:r>
    </w:p>
    <w:p>
      <w:pPr>
        <w:ind w:right="60"/>
        <w:spacing w:after="0" w:line="246" w:lineRule="auto"/>
        <w:rPr>
          <w:sz w:val="20"/>
          <w:szCs w:val="20"/>
          <w:color w:val="auto"/>
        </w:rPr>
      </w:pPr>
      <w:r>
        <w:rPr>
          <w:rFonts w:ascii="Times New Roman" w:cs="Times New Roman" w:eastAsia="Times New Roman" w:hAnsi="Times New Roman"/>
          <w:sz w:val="20"/>
          <w:szCs w:val="20"/>
          <w:color w:val="auto"/>
        </w:rPr>
        <w:t>AXPAXLI, is based on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 party research, surveys and studies are reliable, we have not independently verified such data. If the actual market for DEXTENZA or any of our product candidates, including AXPAXLI, is smaller than we expect, our product revenue may be limited and it may be more difficult for us to achieve or maintain profitability.</w:t>
      </w:r>
    </w:p>
    <w:p>
      <w:pPr>
        <w:spacing w:after="0" w:line="202"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and maintain adequate sales, marketing and distribution capabilities, we may not be successful in commercializing DEXTENZA or any product candidates if and when they are approved, including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AXPAXLI.</w:t>
      </w:r>
    </w:p>
    <w:p>
      <w:pPr>
        <w:spacing w:after="0" w:line="23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have limited experience in the sale, marketing and distribution of drug and device products. To achieve commercial success for DEXTENZA and any product candidate for which we obtain marketing approval, including AXPAXLI, we will need to establish and maintain adequate sales, marketing and distribution capabilities, either ourselves or through collaborations or other arrangements with third parties. We have built our own highly targeted, key account sales force for DEXTENZA that primarily focuses on ambulatory surgical centers, or ASCs, and their affiliates, as well as hospital outpatient departments, or HOPDs, that are collectively responsible for the largest volumes of cataract surgery in the United States. We would expect to use a similar strategy for AXPAXLI in retina offices, although sufficient numbers of patients with diabetic retinal disease may not be currently seen by retina specialists, or might not be seen at a sufficient frequency by retina specialists to optimally introduce AXPAXLI, if approved. We may need to expand our strategy and commercial footprint accordingly.</w:t>
      </w:r>
    </w:p>
    <w:p>
      <w:pPr>
        <w:spacing w:after="0" w:line="202"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20"/>
          <w:szCs w:val="20"/>
          <w:color w:val="auto"/>
        </w:rPr>
        <w:t>We believe that certain of our product candidates, if they are successfully developed and obtain marketing approval, would be used in ophthalmologists’ offices, similar to DEXTENZA for the treatment of allergic conjunctivitis. We believe the office setting offers a unique set of potential challenges. If we do not succeed in adapting our marketing</w:t>
      </w:r>
    </w:p>
    <w:p>
      <w:pPr>
        <w:sectPr>
          <w:pgSz w:w="11880" w:h="15480" w:orient="portrait"/>
          <w:cols w:equalWidth="0" w:num="1">
            <w:col w:w="9700"/>
          </w:cols>
          <w:pgMar w:left="1080" w:top="108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700"/>
          </w:cols>
          <w:pgMar w:left="1080" w:top="1080" w:right="1100" w:bottom="0" w:gutter="0" w:footer="0" w:header="0"/>
          <w:type w:val="continuous"/>
        </w:sectPr>
      </w:pPr>
    </w:p>
    <w:bookmarkStart w:id="77" w:name="page78"/>
    <w:bookmarkEnd w:id="77"/>
    <w:p>
      <w:pPr>
        <w:ind w:right="260"/>
        <w:spacing w:after="0" w:line="280" w:lineRule="auto"/>
        <w:rPr>
          <w:sz w:val="20"/>
          <w:szCs w:val="20"/>
          <w:color w:val="auto"/>
        </w:rPr>
      </w:pPr>
      <w:r>
        <w:rPr>
          <w:rFonts w:ascii="Times New Roman" w:cs="Times New Roman" w:eastAsia="Times New Roman" w:hAnsi="Times New Roman"/>
          <w:sz w:val="20"/>
          <w:szCs w:val="20"/>
          <w:color w:val="auto"/>
        </w:rPr>
        <w:t>efforts to include the office setting, our ability to commercialize DEXTENZA or AXPAXLI, if approved, to its fullest potential or any future product candidates used in the office setting would be adversely affected.</w:t>
      </w:r>
    </w:p>
    <w:p>
      <w:pPr>
        <w:spacing w:after="0" w:line="16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We have historically focused our efforts for regulatory approval and commercialization of DEXTENZA in the United States and indirectly through our collaborator AffaMed in certain specified jurisdictions in Asia. As such, we do not currently expect to recognize revenue from commercialization of DEXTENZA in any other international markets. If we decide to commercialize our products or product candidates outside of the United States, we may utilize a variety of types of collaboration, distribution and other marketing arrangements with one or more third parties to commercialize any product of ours that receives marketing approval. These may include independent distributors, pharmaceutical companies or our own direct sales organization.</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There are risks involved with both establishing our own sales, marketing and distribution capabilities and with</w:t>
      </w:r>
    </w:p>
    <w:p>
      <w:pPr>
        <w:spacing w:after="0"/>
        <w:rPr>
          <w:sz w:val="20"/>
          <w:szCs w:val="20"/>
          <w:color w:val="auto"/>
        </w:rPr>
      </w:pPr>
      <w:r>
        <w:rPr>
          <w:rFonts w:ascii="Times New Roman" w:cs="Times New Roman" w:eastAsia="Times New Roman" w:hAnsi="Times New Roman"/>
          <w:sz w:val="20"/>
          <w:szCs w:val="20"/>
          <w:color w:val="auto"/>
        </w:rPr>
        <w:t>entering into arrangements with third parties to perform these services. We may not be successful in entering into</w:t>
      </w:r>
    </w:p>
    <w:p>
      <w:pPr>
        <w:spacing w:after="0"/>
        <w:rPr>
          <w:sz w:val="20"/>
          <w:szCs w:val="20"/>
          <w:color w:val="auto"/>
        </w:rPr>
      </w:pPr>
      <w:r>
        <w:rPr>
          <w:rFonts w:ascii="Times New Roman" w:cs="Times New Roman" w:eastAsia="Times New Roman" w:hAnsi="Times New Roman"/>
          <w:sz w:val="20"/>
          <w:szCs w:val="20"/>
          <w:color w:val="auto"/>
        </w:rPr>
        <w:t>arrangements with third parties to sell, market and distribute our products or may be unable to do so on terms that are</w:t>
      </w:r>
    </w:p>
    <w:p>
      <w:pPr>
        <w:spacing w:after="0"/>
        <w:rPr>
          <w:sz w:val="20"/>
          <w:szCs w:val="20"/>
          <w:color w:val="auto"/>
        </w:rPr>
      </w:pPr>
      <w:r>
        <w:rPr>
          <w:rFonts w:ascii="Times New Roman" w:cs="Times New Roman" w:eastAsia="Times New Roman" w:hAnsi="Times New Roman"/>
          <w:sz w:val="20"/>
          <w:szCs w:val="20"/>
          <w:color w:val="auto"/>
        </w:rPr>
        <w:t>most beneficial to us. Such third parties may have interests that differ from ours. We likely will have little control over</w:t>
      </w:r>
    </w:p>
    <w:p>
      <w:pPr>
        <w:spacing w:after="0"/>
        <w:rPr>
          <w:sz w:val="20"/>
          <w:szCs w:val="20"/>
          <w:color w:val="auto"/>
        </w:rPr>
      </w:pPr>
      <w:r>
        <w:rPr>
          <w:rFonts w:ascii="Times New Roman" w:cs="Times New Roman" w:eastAsia="Times New Roman" w:hAnsi="Times New Roman"/>
          <w:sz w:val="20"/>
          <w:szCs w:val="20"/>
          <w:color w:val="auto"/>
        </w:rPr>
        <w:t>such third parties, and any of them may fail to devote the necessary resources and attention to market, sell and distribute</w:t>
      </w:r>
    </w:p>
    <w:p>
      <w:pPr>
        <w:spacing w:after="0"/>
        <w:rPr>
          <w:sz w:val="20"/>
          <w:szCs w:val="20"/>
          <w:color w:val="auto"/>
        </w:rPr>
      </w:pPr>
      <w:r>
        <w:rPr>
          <w:rFonts w:ascii="Times New Roman" w:cs="Times New Roman" w:eastAsia="Times New Roman" w:hAnsi="Times New Roman"/>
          <w:sz w:val="20"/>
          <w:szCs w:val="20"/>
          <w:color w:val="auto"/>
        </w:rPr>
        <w:t>our products effectively. Our product revenues and our profitability, if any, under third-party collaboration, distribution</w:t>
      </w:r>
    </w:p>
    <w:p>
      <w:pPr>
        <w:spacing w:after="0"/>
        <w:rPr>
          <w:sz w:val="20"/>
          <w:szCs w:val="20"/>
          <w:color w:val="auto"/>
        </w:rPr>
      </w:pPr>
      <w:r>
        <w:rPr>
          <w:rFonts w:ascii="Times New Roman" w:cs="Times New Roman" w:eastAsia="Times New Roman" w:hAnsi="Times New Roman"/>
          <w:sz w:val="20"/>
          <w:szCs w:val="20"/>
          <w:color w:val="auto"/>
        </w:rPr>
        <w:t>or other marketing arrangements may also be lower than if we were to sell, market and distribute a product</w:t>
      </w:r>
    </w:p>
    <w:p>
      <w:pPr>
        <w:spacing w:after="0"/>
        <w:rPr>
          <w:sz w:val="20"/>
          <w:szCs w:val="20"/>
          <w:color w:val="auto"/>
        </w:rPr>
      </w:pPr>
      <w:r>
        <w:rPr>
          <w:rFonts w:ascii="Times New Roman" w:cs="Times New Roman" w:eastAsia="Times New Roman" w:hAnsi="Times New Roman"/>
          <w:sz w:val="20"/>
          <w:szCs w:val="20"/>
          <w:color w:val="auto"/>
        </w:rPr>
        <w:t>ourselves. On the other hand, recruiting and training a sales force is expensive and time-consuming and could delay any</w:t>
      </w:r>
    </w:p>
    <w:p>
      <w:pPr>
        <w:spacing w:after="0"/>
        <w:rPr>
          <w:sz w:val="20"/>
          <w:szCs w:val="20"/>
          <w:color w:val="auto"/>
        </w:rPr>
      </w:pPr>
      <w:r>
        <w:rPr>
          <w:rFonts w:ascii="Times New Roman" w:cs="Times New Roman" w:eastAsia="Times New Roman" w:hAnsi="Times New Roman"/>
          <w:sz w:val="20"/>
          <w:szCs w:val="20"/>
          <w:color w:val="auto"/>
        </w:rPr>
        <w:t>product launch. If the commercial launch of any product or product candidate for which we recruit a sales force and</w:t>
      </w:r>
    </w:p>
    <w:p>
      <w:pPr>
        <w:spacing w:after="0"/>
        <w:rPr>
          <w:sz w:val="20"/>
          <w:szCs w:val="20"/>
          <w:color w:val="auto"/>
        </w:rPr>
      </w:pPr>
      <w:r>
        <w:rPr>
          <w:rFonts w:ascii="Times New Roman" w:cs="Times New Roman" w:eastAsia="Times New Roman" w:hAnsi="Times New Roman"/>
          <w:sz w:val="20"/>
          <w:szCs w:val="20"/>
          <w:color w:val="auto"/>
        </w:rPr>
        <w:t>establish marketing capabilities is delayed or does not occur for any reason, we would have prematurely or unnecessarily</w:t>
      </w:r>
    </w:p>
    <w:p>
      <w:pPr>
        <w:spacing w:after="0"/>
        <w:rPr>
          <w:sz w:val="20"/>
          <w:szCs w:val="20"/>
          <w:color w:val="auto"/>
        </w:rPr>
      </w:pPr>
      <w:r>
        <w:rPr>
          <w:rFonts w:ascii="Times New Roman" w:cs="Times New Roman" w:eastAsia="Times New Roman" w:hAnsi="Times New Roman"/>
          <w:sz w:val="20"/>
          <w:szCs w:val="20"/>
          <w:color w:val="auto"/>
        </w:rPr>
        <w:t>incurred these commercialization expenses. This may be costly, and our investment would be lost if we cannot retain or</w:t>
      </w:r>
    </w:p>
    <w:p>
      <w:pPr>
        <w:spacing w:after="0"/>
        <w:rPr>
          <w:sz w:val="20"/>
          <w:szCs w:val="20"/>
          <w:color w:val="auto"/>
        </w:rPr>
      </w:pPr>
      <w:r>
        <w:rPr>
          <w:rFonts w:ascii="Times New Roman" w:cs="Times New Roman" w:eastAsia="Times New Roman" w:hAnsi="Times New Roman"/>
          <w:sz w:val="20"/>
          <w:szCs w:val="20"/>
          <w:color w:val="auto"/>
        </w:rPr>
        <w:t>reposition our sales and marketing personnel.</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Other factors that may inhibit our efforts to commercialize products on our own include:</w:t>
      </w:r>
    </w:p>
    <w:p>
      <w:pPr>
        <w:spacing w:after="0" w:line="255" w:lineRule="exact"/>
        <w:rPr>
          <w:sz w:val="20"/>
          <w:szCs w:val="20"/>
          <w:color w:val="auto"/>
        </w:rPr>
      </w:pPr>
    </w:p>
    <w:p>
      <w:pPr>
        <w:ind w:left="860" w:hanging="363"/>
        <w:spacing w:after="0"/>
        <w:tabs>
          <w:tab w:leader="none" w:pos="86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recruit, train and retain adequate numbers of effective sales and marketing personnel;</w:t>
      </w:r>
    </w:p>
    <w:p>
      <w:pPr>
        <w:spacing w:after="0" w:line="252" w:lineRule="exact"/>
        <w:rPr>
          <w:rFonts w:ascii="Arial" w:cs="Arial" w:eastAsia="Arial" w:hAnsi="Arial"/>
          <w:sz w:val="20"/>
          <w:szCs w:val="20"/>
          <w:color w:val="auto"/>
        </w:rPr>
      </w:pPr>
    </w:p>
    <w:p>
      <w:pPr>
        <w:ind w:left="860" w:right="120" w:hanging="363"/>
        <w:spacing w:after="0" w:line="279" w:lineRule="auto"/>
        <w:tabs>
          <w:tab w:leader="none" w:pos="86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of sales personnel to obtain access to physicians or lack of adequate number of physicians to use or prescribe our products;</w:t>
      </w:r>
    </w:p>
    <w:p>
      <w:pPr>
        <w:spacing w:after="0" w:line="179" w:lineRule="exact"/>
        <w:rPr>
          <w:rFonts w:ascii="Arial" w:cs="Arial" w:eastAsia="Arial" w:hAnsi="Arial"/>
          <w:sz w:val="20"/>
          <w:szCs w:val="20"/>
          <w:color w:val="auto"/>
        </w:rPr>
      </w:pPr>
    </w:p>
    <w:p>
      <w:pPr>
        <w:ind w:left="860" w:right="540" w:hanging="363"/>
        <w:spacing w:after="0" w:line="279" w:lineRule="auto"/>
        <w:tabs>
          <w:tab w:leader="none" w:pos="86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w:t>
      </w:r>
    </w:p>
    <w:p>
      <w:pPr>
        <w:spacing w:after="0" w:line="239"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If we do not establish and maintain sales, marketing and distribution capabilities successfully, either on our own or in collaboration with third parties, we will not be successful in commercializing DEXTENZA or any of our product candidates, including AXPAXLI.</w:t>
      </w:r>
    </w:p>
    <w:p>
      <w:pPr>
        <w:spacing w:after="0" w:line="186"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dependent upon a small number of specialty distributors and in-market customers for a significant portion of our DEXTENZA revenue, and the loss of or significant reduction in sales to these customers would adversely affect our results of operations.</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We sell DEXTENZA in the United States primarily to a small number of specialty distributors, or SDs.</w:t>
      </w:r>
    </w:p>
    <w:p>
      <w:pPr>
        <w:ind w:right="20"/>
        <w:spacing w:after="0" w:line="243" w:lineRule="auto"/>
        <w:rPr>
          <w:sz w:val="20"/>
          <w:szCs w:val="20"/>
          <w:color w:val="auto"/>
        </w:rPr>
      </w:pPr>
      <w:r>
        <w:rPr>
          <w:rFonts w:ascii="Times New Roman" w:cs="Times New Roman" w:eastAsia="Times New Roman" w:hAnsi="Times New Roman"/>
          <w:sz w:val="20"/>
          <w:szCs w:val="20"/>
          <w:color w:val="auto"/>
        </w:rPr>
        <w:t>These customers then subsequently resell DEXTENZA to ASCs, HOPDs, and physicians’ offices, which we refer to as in-market customers when purchasing through the SD channel. We also sell DEXTENZA directly to a small population of ASCs and physicians’ offices, which we refer to as direct customers when purchasing through the direct sales channel. We are heavily dependent on a small number of SDs for our sales of DEXTENZA. For example, for the years ended December 31, 2025, 2024 and 2023, three SDs accounted for a combined percentage of our total revenue of 75%, 77%, and 85%, respectively. We also experience significant concentration of sales at the in-market customer level. For example, for the years ended December 31, 2025, 2024 and 2023, one in-market customer accounted for approximately 17%, 18%, and 19% of our gross sales of DEXTENZA before adjustments, respectively. A loss of a significant SD, direct customer, or in-market customer may result in a significant reduction in sales of DEXTENZA and would adversely affect our results of operations. We expect the significant SD concentration, as well as the significant concentration at the in-market customer level, to continue for the foreseeable future and a similar dynamic may develop for any future products we may commercialize, including AXPAXLI if approved.</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700"/>
          </w:cols>
          <w:pgMar w:left="1080" w:top="1064" w:right="1100" w:bottom="0" w:gutter="0" w:footer="0" w:header="0"/>
          <w:type w:val="continuous"/>
        </w:sectPr>
      </w:pPr>
    </w:p>
    <w:bookmarkStart w:id="78" w:name="page79"/>
    <w:bookmarkEnd w:id="78"/>
    <w:p>
      <w:pPr>
        <w:ind w:right="40" w:firstLine="489"/>
        <w:spacing w:after="0" w:line="243" w:lineRule="auto"/>
        <w:rPr>
          <w:sz w:val="20"/>
          <w:szCs w:val="20"/>
          <w:color w:val="auto"/>
        </w:rPr>
      </w:pPr>
      <w:r>
        <w:rPr>
          <w:rFonts w:ascii="Times New Roman" w:cs="Times New Roman" w:eastAsia="Times New Roman" w:hAnsi="Times New Roman"/>
          <w:sz w:val="20"/>
          <w:szCs w:val="20"/>
          <w:color w:val="auto"/>
        </w:rPr>
        <w:t>Our ability to generate and grow sales for DEXTENZA and any other product we may commercialize, including AXPAXLI if approved, will depend, in part, on the extent to which our SDs are able to provide adequate distribution of these products, as well as the continued demand for DEXTENZA from our most significant in-market customers and direct customers. Although we believe we can find additional SDs, if necessary, and continue to broaden our base of direct customers, our revenue during any period of disruption of sales could suffer and we might incur additional costs. In addition, our SDs are responsible for a significant portion of our accounts receivables, net, balances. For example, as of December 31, 2025 and 2024, three SDs accounted for 82% and 82% of our accounts receivables, net, balances, respectively. The loss of any significant SD or direct customer, or the loss of a significant in-market customer, a significant reduction in sales we make to them, any cancellation of orders they have made with us, or any failure to pay for the product we have sold to them could adversely affect our results of operations. Sales of DEXTENZA and any other product we may commercialize, including AXPAXLI if approved, may also be adversely impacted by vertical integration of private payor healthcare and insurance programs, health maintenance organizations, and pharmacy benefit managers, or further consolidation among the healthcare providers served or operated by our SDs if, for example, one or more consolidated groups of healthcare providers determines not to use, or decides to switch from, such marketed product in favor of a competing product.</w:t>
      </w:r>
    </w:p>
    <w:p>
      <w:pPr>
        <w:spacing w:after="0" w:line="200"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166"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The development and commercialization of new drug and device products is highly competitive. We face competition with respect to our products and product candidates and will face competition with respect to any other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Our products and product candidates target markets that are already served by a variety of competing products based on a number of active pharmaceutical ingredients. Many of these existing products have achieved widespread acceptance among physicians, patients and payors for the treatment of ophthalmic diseases and conditions. In addition, many of these products are available on a biosimilar or generic basis, and our products and product candidates may not demonstrate sufficient additional clinical benefits to physicians, patients or payors to justify a higher price compared to biosimilar or generic products. In many cases, insurers or other third-party payors, particularly Medicare, encourage the use of biosimilar, generic or off-label products. As a result, our products face, and product candidates, if approved, will face, competition from drugs based on the same or similar active pharmaceutical ingredients but that are administered in a different manner, typically through eye drops or intravitreal injections.</w:t>
      </w:r>
    </w:p>
    <w:p>
      <w:pPr>
        <w:spacing w:after="0" w:line="196" w:lineRule="exact"/>
        <w:rPr>
          <w:sz w:val="20"/>
          <w:szCs w:val="20"/>
          <w:color w:val="auto"/>
        </w:rPr>
      </w:pPr>
    </w:p>
    <w:p>
      <w:pPr>
        <w:ind w:right="220" w:firstLine="489"/>
        <w:spacing w:after="0" w:line="253" w:lineRule="auto"/>
        <w:rPr>
          <w:sz w:val="20"/>
          <w:szCs w:val="20"/>
          <w:color w:val="auto"/>
        </w:rPr>
      </w:pPr>
      <w:r>
        <w:rPr>
          <w:rFonts w:ascii="Times New Roman" w:cs="Times New Roman" w:eastAsia="Times New Roman" w:hAnsi="Times New Roman"/>
          <w:sz w:val="20"/>
          <w:szCs w:val="20"/>
          <w:color w:val="auto"/>
        </w:rPr>
        <w:t>For example, in wet AMD and diabetic retinal disease, AXPAXLI will compete with anti-vascular endothelial growth factor, or anti-VEGF, compounds administered in their current formulation and prescribed for the treatment of wet AMD as these agents can in some instances deliver more than one or two months of therapeutic effect, as well as products based on gene therapy, if such products are approved.</w:t>
      </w:r>
    </w:p>
    <w:p>
      <w:pPr>
        <w:spacing w:after="0" w:line="191"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Anti-VEGF products that are currently approved by the FDA for the treatment of wet AMD include Vabysmo (faricimab), Eylea HD (aflibercept 8 mg), Lucentis (ranibizumab), Eylea (aflibercept 2 mg), Beovu (brolicizumab), and Susvimo (ranibizumab Port Delivery System). Biosimilars to ranibizumab and aflibercept 2 mg are commercially available as well. Products that are currently approved by the FDA for the treatment of various diabetic retinal disease indications include Vabysmo, Eylea HD, Lucentis, Eylea, Beovu and Susvimo. The FDA-approved labels for Vabysmo and Eylea HD contemplate dosing as infrequently as once every 16 weeks for a proportion of patients with wet AMD or diabetic retinal disease. The cancer therapy Avastin (bevacizumab) is used off-label for the treatment of wet AMD and diabetic retinal disease as well.</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Other companies have advanced into Phase 3 clinical development biodegradable, programmed-release drug delivery product candidates that could compete with our products and product candidates, including EyePoint Pharmaceuticals which initiated two Phase 3 trials of their product candidate DURAVYU for the treatment of wet AMD in 2024 and two Phase 3 trials of DURAVYU for the treatment of DME in 2025, and 4DMT which initiated two Phase 3 trials of their product candidate 4D-150 for the treatment of wet AMD in 2025. Multiple companies are in early-stage development to explore alternative means to deliver anti-VEGF, tyrosine kinase inhibitors, or TKI, products in an</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680"/>
          </w:cols>
          <w:pgMar w:left="1080" w:top="1064" w:right="1120" w:bottom="0" w:gutter="0" w:footer="0" w:header="0"/>
          <w:type w:val="continuous"/>
        </w:sectPr>
      </w:pPr>
    </w:p>
    <w:bookmarkStart w:id="79" w:name="page80"/>
    <w:bookmarkEnd w:id="79"/>
    <w:p>
      <w:pPr>
        <w:spacing w:after="0" w:line="280" w:lineRule="auto"/>
        <w:rPr>
          <w:sz w:val="20"/>
          <w:szCs w:val="20"/>
          <w:color w:val="auto"/>
        </w:rPr>
      </w:pPr>
      <w:r>
        <w:rPr>
          <w:rFonts w:ascii="Times New Roman" w:cs="Times New Roman" w:eastAsia="Times New Roman" w:hAnsi="Times New Roman"/>
          <w:sz w:val="20"/>
          <w:szCs w:val="20"/>
          <w:color w:val="auto"/>
        </w:rPr>
        <w:t>extended-delivery fashion to the back of the eye. In addition, other companies are evaluating novel mechanisms of action for retinal diseases.</w:t>
      </w:r>
    </w:p>
    <w:p>
      <w:pPr>
        <w:spacing w:after="0" w:line="164" w:lineRule="exact"/>
        <w:rPr>
          <w:sz w:val="20"/>
          <w:szCs w:val="20"/>
          <w:color w:val="auto"/>
        </w:rPr>
      </w:pPr>
    </w:p>
    <w:p>
      <w:pPr>
        <w:ind w:right="140" w:firstLine="490"/>
        <w:spacing w:after="0" w:line="250"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products that are safer, more effective, have fewer or less severe side effects, are more convenient, are less expensive than our products or have better reimbursement.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2" w:lineRule="exact"/>
        <w:rPr>
          <w:sz w:val="20"/>
          <w:szCs w:val="20"/>
          <w:color w:val="auto"/>
        </w:rPr>
      </w:pPr>
    </w:p>
    <w:p>
      <w:pPr>
        <w:ind w:right="240" w:firstLine="490"/>
        <w:spacing w:after="0" w:line="248" w:lineRule="auto"/>
        <w:rPr>
          <w:sz w:val="20"/>
          <w:szCs w:val="20"/>
          <w:color w:val="auto"/>
        </w:rPr>
      </w:pPr>
      <w:r>
        <w:rPr>
          <w:rFonts w:ascii="Times New Roman" w:cs="Times New Roman" w:eastAsia="Times New Roman" w:hAnsi="Times New Roman"/>
          <w:sz w:val="20"/>
          <w:szCs w:val="20"/>
          <w:color w:val="auto"/>
        </w:rPr>
        <w:t>To the extent our patents and other intellectual property do not preclude a generic or other manufacturer from marketing a product similar or the same as ours, we may also face generic competition. See “Risks Related to Our Intellectual Property – We may be unable to obtain and maintain patent protection for our technology and products, or the scope of the patent protection obtained may not be sufficiently broad, such that our competitors could develop and commercialize technology and products similar or identical to ours, and our ability to successfully commercialize our technology and products may be impaired.”</w:t>
      </w:r>
    </w:p>
    <w:p>
      <w:pPr>
        <w:spacing w:after="0" w:line="194" w:lineRule="exact"/>
        <w:rPr>
          <w:sz w:val="20"/>
          <w:szCs w:val="20"/>
          <w:color w:val="auto"/>
        </w:rPr>
      </w:pPr>
    </w:p>
    <w:p>
      <w:pPr>
        <w:ind w:right="160" w:firstLine="489"/>
        <w:spacing w:after="0" w:line="245" w:lineRule="auto"/>
        <w:rPr>
          <w:sz w:val="20"/>
          <w:szCs w:val="20"/>
          <w:color w:val="auto"/>
        </w:rPr>
      </w:pPr>
      <w:r>
        <w:rPr>
          <w:rFonts w:ascii="Times New Roman" w:cs="Times New Roman" w:eastAsia="Times New Roman" w:hAnsi="Times New Roman"/>
          <w:sz w:val="20"/>
          <w:szCs w:val="20"/>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manufacturing, marketing, and management personnel, establishing clinical trial sites and subject registration for clinical trials, as well as in acquiring technologies complementary to, or necessary for, our programs.</w:t>
      </w:r>
    </w:p>
    <w:p>
      <w:pPr>
        <w:spacing w:after="0" w:line="199"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DEXTENZA and any product candidates for which we may obtain marketing approval, including AXPAXLI, may become subject to unfavorable pricing regulations, third-party coverage or reimbursement practices or healthcare reform initiatives, which could harm our business.</w:t>
      </w:r>
    </w:p>
    <w:p>
      <w:pPr>
        <w:spacing w:after="0" w:line="184" w:lineRule="exact"/>
        <w:rPr>
          <w:sz w:val="20"/>
          <w:szCs w:val="20"/>
          <w:color w:val="auto"/>
        </w:rPr>
      </w:pPr>
    </w:p>
    <w:p>
      <w:pPr>
        <w:ind w:right="200" w:firstLine="490"/>
        <w:spacing w:after="0" w:line="239" w:lineRule="auto"/>
        <w:rPr>
          <w:sz w:val="20"/>
          <w:szCs w:val="20"/>
          <w:color w:val="auto"/>
        </w:rPr>
      </w:pPr>
      <w:r>
        <w:rPr>
          <w:rFonts w:ascii="Times New Roman" w:cs="Times New Roman" w:eastAsia="Times New Roman" w:hAnsi="Times New Roman"/>
          <w:sz w:val="20"/>
          <w:szCs w:val="20"/>
          <w:color w:val="auto"/>
        </w:rPr>
        <w:t>Our ability to commercialize DEXTENZA or any product candidates that we may develop successfully will depend, in part, on the extent to which coverage and adequate reimbursement for these products and related treatments will be available from government healthcare programs, private health insurers, managed care plans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w:t>
      </w:r>
    </w:p>
    <w:p>
      <w:pPr>
        <w:spacing w:after="0" w:line="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medications. Increasingly, third-party payors are requiring that drug and device companies provide them with predetermined discounts from list prices and are challenging the prices charged for medical products. In addition, third-party payors may implement step-therapy requirements where providers are required to prescribe and administer lower cost options, such as biosimilar anti-VEGF, prior to prescribing and administering higher-cost, more durable treatment options. Coverage and reimbursement may not be available for DEXTENZA or any other product that we may commercialize after obtaining marketing approval, including AXPAXLI. Even if coverage and reimbursement are available, the level of reimbursement may not be satisfactory.</w:t>
      </w:r>
    </w:p>
    <w:p>
      <w:pPr>
        <w:spacing w:after="0" w:line="201"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Inadequate reimbursement may adversely affect the demand for, or the price of, DEXTENZA or any product candidate, including AXPAXLI,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DEXTENZA or any product candidates for which we may obtain marketing approval, including AXPAXLI.</w:t>
      </w:r>
    </w:p>
    <w:p>
      <w:pPr>
        <w:spacing w:after="0" w:line="199" w:lineRule="exact"/>
        <w:rPr>
          <w:sz w:val="20"/>
          <w:szCs w:val="20"/>
          <w:color w:val="auto"/>
        </w:rPr>
      </w:pPr>
    </w:p>
    <w:p>
      <w:pPr>
        <w:jc w:val="both"/>
        <w:ind w:right="100" w:firstLine="490"/>
        <w:spacing w:after="0" w:line="253" w:lineRule="auto"/>
        <w:rPr>
          <w:sz w:val="20"/>
          <w:szCs w:val="20"/>
          <w:color w:val="auto"/>
        </w:rPr>
      </w:pPr>
      <w:r>
        <w:rPr>
          <w:rFonts w:ascii="Times New Roman" w:cs="Times New Roman" w:eastAsia="Times New Roman" w:hAnsi="Times New Roman"/>
          <w:sz w:val="20"/>
          <w:szCs w:val="20"/>
          <w:color w:val="auto"/>
        </w:rPr>
        <w:t>There may be significant delays in obtaining coverage and reimbursement for newly approved drugs and devices, and coverage may be more limited than the indications for which the drug is approved by the FDA or similar regulatory authorities outside the United States. Moreover, eligibility for coverage and reimbursement does not imply that a drug will be paid for in all cases or at a rate that covers our costs, including research, development, manufacture, sale and</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700"/>
          </w:cols>
          <w:pgMar w:left="1080" w:top="1064" w:right="1100" w:bottom="0" w:gutter="0" w:footer="0" w:header="0"/>
          <w:type w:val="continuous"/>
        </w:sectPr>
      </w:pPr>
    </w:p>
    <w:bookmarkStart w:id="80" w:name="page81"/>
    <w:bookmarkEnd w:id="80"/>
    <w:p>
      <w:pPr>
        <w:ind w:right="20"/>
        <w:spacing w:after="0" w:line="243" w:lineRule="auto"/>
        <w:rPr>
          <w:sz w:val="20"/>
          <w:szCs w:val="20"/>
          <w:color w:val="auto"/>
        </w:rPr>
      </w:pPr>
      <w:r>
        <w:rPr>
          <w:rFonts w:ascii="Times New Roman" w:cs="Times New Roman" w:eastAsia="Times New Roman" w:hAnsi="Times New Roman"/>
          <w:sz w:val="20"/>
          <w:szCs w:val="20"/>
          <w:color w:val="auto"/>
        </w:rPr>
        <w:t>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including CMMI’s Global Benchmark for Efficient Drug Pricing Model for Medicare Part B drugs, referred to as GLOBE, and the Guarding U.S. Medicare Against Rising Drug Costs for Medicare Part D drugs, referred to as GUARD, if implemented, the drug price negotiation mechanism for Medicare-covered drugs introduced by the IRA, or private payors and by any future relaxation of laws that presently restrict imports of drugs from countries where they may be sold at lower prices than in the United States or greater reliance on “most-favored nation” or other reference pricing regimes. Third-party payors often rely upon Medicare coverage policy and payment limitations in setting their own reimbursement policies. Our inability to promptly obtain coverage and adequate reimbursement rates from both government-funded and private payors for any FDA-approved products that we develop would compromise our ability to generate revenues and become profitable.</w:t>
      </w:r>
    </w:p>
    <w:p>
      <w:pPr>
        <w:spacing w:after="0" w:line="20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regulations that govern marketing approvals, pricing, coverage and reimbursement for new drug and device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To obtain reimbursement or pricing approval in some countries, we may be required to conduct a clinical trial that compares the cost-effectiveness of our product or product candidate to other available therapies. Adverse pricing limitations may hinder our ability to recoup our investment in one or more products or product candidates, even if our product candidates obtain marketing approval.</w:t>
      </w:r>
    </w:p>
    <w:p>
      <w:pPr>
        <w:spacing w:after="0" w:line="206" w:lineRule="exact"/>
        <w:rPr>
          <w:sz w:val="20"/>
          <w:szCs w:val="20"/>
          <w:color w:val="auto"/>
        </w:rPr>
      </w:pPr>
    </w:p>
    <w:p>
      <w:pPr>
        <w:ind w:firstLine="489"/>
        <w:spacing w:after="0" w:line="246" w:lineRule="auto"/>
        <w:rPr>
          <w:sz w:val="20"/>
          <w:szCs w:val="20"/>
          <w:color w:val="auto"/>
        </w:rPr>
      </w:pPr>
      <w:r>
        <w:rPr>
          <w:rFonts w:ascii="Times New Roman" w:cs="Times New Roman" w:eastAsia="Times New Roman" w:hAnsi="Times New Roman"/>
          <w:sz w:val="20"/>
          <w:szCs w:val="20"/>
          <w:color w:val="auto"/>
        </w:rPr>
        <w:t>DEXTENZA or any product candidate for which we may obtain marketing approval in the United States or in other countries, including AXPAXLI, may not be considered medically reasonable and necessary for a specific indication, may not be considered cost-effective by third-party payors, coverage and an adequate level of reimbursement may not be available, and reimbursement policies of third- party payors may adversely affect our ability to sell our products and product candidates profitably. DEXTENZA, for example, is currently separately reimbursed in ASC and HOPD settings as a non-opioid pain management drug, but changes that affect reimbursement for DEXTENZA, or its associated procedure code could limit its market acceptance.</w:t>
      </w:r>
    </w:p>
    <w:p>
      <w:pPr>
        <w:spacing w:after="0" w:line="199"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CMS evaluates the eligibility of products such as DEXTENZA for separate payment annually, and there can be no assurance that CMS will not change the criteria currently applicable to non-opioid pain management drugs in any subsequent year. If DEXTENZA were no longer eligible for reimbursement separately from ophthalmic surgery in the ASC and HOPD settings, our net product revenues, which currently consist primarily of DEXTENZA sales in reliance on separate reimbursement, would decline significantly, and our ability to generate revenues from future sales of DEXTENZA for the treatment of post-surgical ocular inflammation and pain would be adversely affected.</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CMS has also established the fixed reimbursement amount for Category I Current Procedural Terminology, or CPT, code 68841, the procedure code for the insertion of DEXTENZA. As this fee schedule is lower than reimbursement many physicians received under the prior Category III CPT code for DEXTENZA, physicians may have less incentive to use DEXTENZA and, as a result, our ability to continue to commercialize DEXTENZA may decrease. Additionally, CMS will review such determination as part of its annual rulemaking cycle, and such amount could be further reduced in the future. Physicians’ desire to use DEXTENZA could also be adversely impacted if competitive products secure higher procedure payments for their use than DEXTENZA.</w:t>
      </w:r>
    </w:p>
    <w:p>
      <w:pPr>
        <w:spacing w:after="0" w:line="201"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auto"/>
        </w:rPr>
        <w:t>There are no assurances that we will be successful in maintaining reimbursement for DEXTENZA or of obtaining or maintaining reimbursement for any products or product candidates for which we might receive marketing approval in the future, including AXPAXLI.</w:t>
      </w:r>
    </w:p>
    <w:p>
      <w:pPr>
        <w:sectPr>
          <w:pgSz w:w="11880" w:h="15480" w:orient="portrait"/>
          <w:cols w:equalWidth="0" w:num="1">
            <w:col w:w="9660"/>
          </w:cols>
          <w:pgMar w:left="1080" w:top="1064"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660"/>
          </w:cols>
          <w:pgMar w:left="1080" w:top="1064" w:right="1140" w:bottom="0" w:gutter="0" w:footer="0" w:header="0"/>
          <w:type w:val="continuous"/>
        </w:sectPr>
      </w:pPr>
    </w:p>
    <w:bookmarkStart w:id="81" w:name="page82"/>
    <w:bookmarkEnd w:id="81"/>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to limit commercialization of any products that we develop.</w:t>
      </w:r>
    </w:p>
    <w:p>
      <w:pPr>
        <w:spacing w:after="0" w:line="166"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use of our product candidates that we develop in human clinical trials, including AXPAXLI. We face an even greater risk for any products we develop and commercially sell or have sold, including DEXTENZA and ReSure Sealant. If we cannot successfully defend ourselves against claims that our product candidates or products caused injuries, we will incur substantial liabilities. Regardless of merit or eventual outcome, liability claims may result in:</w:t>
      </w:r>
    </w:p>
    <w:p>
      <w:pPr>
        <w:spacing w:after="0" w:line="206" w:lineRule="exact"/>
        <w:rPr>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any products or product candidates that we develop;</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costs to defend the related litigation;</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subjects;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reduced time and attention of our management to pursue our business strategy; and</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products that we develop.</w:t>
      </w:r>
    </w:p>
    <w:p>
      <w:pPr>
        <w:spacing w:after="0" w:line="238"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We currently hold product liability insurance coverage; however these policies may not be adequate to cover all liabilities that we may incur and we may need to increase our insurance coverage as we expand our clinical trials of AXPAXLI and our sales of DEXTENZA and any product candidates for which we may obtain marketing approval. We may not be able to maintain insurance coverage at a reasonable cost or in an amount adequate to satisfy any liability that may arise.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Manufacturing</w:t>
      </w:r>
    </w:p>
    <w:p>
      <w:pPr>
        <w:spacing w:after="0" w:line="24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one of our manufacturing facilities is damaged or destroyed or production at any facility is otherwise interrupted, our business and prospects would be negatively affected.</w:t>
      </w:r>
    </w:p>
    <w:p>
      <w:pPr>
        <w:spacing w:after="0" w:line="16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manufacture devices and drug products for use in our clinical trials for our product candidates, including AXPAXLI, in a single-site facility, and we manufacture devices and drug products for DEXTENZA in a separate single- site facility. If one of our manufacturing facilities or the equipment in it is damaged or destroyed, we may not be able to quickly or inexpensively replace our manufacturing capacity or replace it at all. In the event of a temporary or protracted loss of a facility or equipment, we might not be able to transfer manufacturing to another facility or to a third party. Even if we could transfer our manufacturing to another facility or a third party, the shift would likely be expensive and time-consuming, particularly since any new facility would need to comply with the necessary regulatory requirements and to be inspected and qualified. We would also need FDA approval before any products manufactured at that facility could be used for commercial supply. In the case of any disruption in our manufacturing operations at a facility, we may not have sufficient quantities of our product candidates to meet our clinical trial requirements or of our product inventory to meet our commercial requirements. Such an event could delay our clinical trials or, particularly because we have sought to adopt just-in-time manufacturing practices and maintain limited commercial product inventory with our distributors, reduce our product sales.</w:t>
      </w:r>
    </w:p>
    <w:p>
      <w:pPr>
        <w:spacing w:after="0" w:line="204"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20"/>
          <w:szCs w:val="20"/>
          <w:color w:val="auto"/>
        </w:rPr>
        <w:t>Currently, we maintain insurance coverage against damage to our property and equipment and to cover business interruption and research and development restoration expenses. However, our insurance coverage may not reimburse us, or may not be sufficient to reimburse us, for any expenses or losses we may suffer. We may be unable to meet our requirements for DEXTENZA or any of our product candidates, including AXPAXLI, if there were a catastrophic event or failure of our current manufacturing facilities or processes.</w:t>
      </w:r>
    </w:p>
    <w:p>
      <w:pPr>
        <w:sectPr>
          <w:pgSz w:w="11880" w:h="15480" w:orient="portrait"/>
          <w:cols w:equalWidth="0" w:num="1">
            <w:col w:w="9680"/>
          </w:cols>
          <w:pgMar w:left="1080" w:top="1066"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680"/>
          </w:cols>
          <w:pgMar w:left="1080" w:top="1066" w:right="1120" w:bottom="0" w:gutter="0" w:footer="0" w:header="0"/>
          <w:type w:val="continuous"/>
        </w:sectPr>
      </w:pPr>
    </w:p>
    <w:bookmarkStart w:id="82" w:name="page83"/>
    <w:bookmarkEnd w:id="82"/>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will need to upgrade and expand our manufacturing facilities or relocate to another facility and to augment our manufacturing personnel and processes in order to meet our business plans. If we fail to do so, we may not have sufficient quantities of our products or product candidates to meet our commercial and clinical trial requirements.</w:t>
      </w:r>
    </w:p>
    <w:p>
      <w:pPr>
        <w:spacing w:after="0" w:line="18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In order to meet our business plan, to scale up of our manufacturing processes to support the development and potential commercialization of our current and future product candidates, including AXPAXLI, and maintain the manufacturing capacity necessary to support the commercialization of DEXTENZA, we will need to upgrade and expand our existing manufacturing facilities, or relocate to one or more other manufacturing facilities; add manufacturing, quality and support personnel; ensure that new processes, systems, and facilities are qualified and validated; and ensure that any new processes and systems are consistently implemented in our facility or facilities. The upgrade and expansion of our facilities, or our relocation to one or more alternate facilities, will require additional regulatory approvals including FDA audits of such new processes, systems, and facilities. In addition, it will be costly and time-consuming to expand our facilities or relocate and recruit necessary additional personnel. If we are unable to expand our manufacturing facilities or relocate in compliance with regulatory requirements or to hire additional necessary manufacturing personnel, we may encounter delays or additional costs in achieving our research, development and commercialization objectives, including obtaining regulatory approvals of our product candidates and meeting customer demand for our products, which could materially damage our business and financial position.</w:t>
      </w:r>
    </w:p>
    <w:p>
      <w:pPr>
        <w:spacing w:after="0" w:line="204"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We must comply with federal, state and foreign regulations, including quality standards applicable to medical device and pharmaceutical manufacturers, such as cGMP, which are enforced by the FDA through means including its facilities inspection program and system audits and by similar regulatory authorities in other jurisdictions where we do business. These requirements include, among other things, quality control, quality systems and the maintenance of records and documentation. For example, between March 2015 and May 2018, we received multiple Form 483s from the FDA containing inspectional observations relating to inadequate procedures for documenting follow-up information pertinent to the investigation of complaints and for evaluation of complaints for adverse event reporting; process controls, analytical testing and physical security procedures related to manufacture of our drug product for stability and commercial production purposes; and procedures for manufacturing processes and analytical testing related to the manufacture of drug product for commercial production. In each of July 2016 and July 2017, we also received a Complete Response Letter, or CRL, from the FDA regarding our NDA for DEXTENZA pertaining to, among other things, the deficiencies in manufacturing processes, controls, and analytical testing identified during pre-NDA approval inspections of our manufacturing facility documented on Form 483s. We may be subject to similar inspections, audits and other requirements in connection with subsequent applications for other product candidates or in connection with periodic, routine surveillance for products for which we have received marketing authorization.</w:t>
      </w:r>
    </w:p>
    <w:p>
      <w:pPr>
        <w:spacing w:after="0" w:line="212" w:lineRule="exact"/>
        <w:rPr>
          <w:sz w:val="20"/>
          <w:szCs w:val="20"/>
          <w:color w:val="auto"/>
        </w:rPr>
      </w:pPr>
    </w:p>
    <w:p>
      <w:pPr>
        <w:ind w:right="120" w:firstLine="490"/>
        <w:spacing w:after="0" w:line="250" w:lineRule="auto"/>
        <w:rPr>
          <w:sz w:val="20"/>
          <w:szCs w:val="20"/>
          <w:color w:val="auto"/>
        </w:rPr>
      </w:pPr>
      <w:r>
        <w:rPr>
          <w:rFonts w:ascii="Times New Roman" w:cs="Times New Roman" w:eastAsia="Times New Roman" w:hAnsi="Times New Roman"/>
          <w:sz w:val="20"/>
          <w:szCs w:val="20"/>
          <w:color w:val="auto"/>
        </w:rPr>
        <w:t>The FDA or similar foreign regulatory authorities at any time also may implement new standards, or change their interpretation and enforcement of existing standards, for the manufacture, packaging or testing of our products. Any failure to comply with applicable regulations may result in fines and civil penalties, suspension of production, product seizure or recall, imposition of a consent decree, or withdrawal of product approval, and would limit the availability of DEXTENZA and our product candidates that we manufacture.</w:t>
      </w:r>
    </w:p>
    <w:p>
      <w:pPr>
        <w:spacing w:after="0" w:line="192" w:lineRule="exact"/>
        <w:rPr>
          <w:sz w:val="20"/>
          <w:szCs w:val="20"/>
          <w:color w:val="auto"/>
        </w:rPr>
      </w:pPr>
    </w:p>
    <w:p>
      <w:pPr>
        <w:jc w:val="both"/>
        <w:ind w:right="240" w:firstLine="490"/>
        <w:spacing w:after="0" w:line="260" w:lineRule="auto"/>
        <w:rPr>
          <w:sz w:val="20"/>
          <w:szCs w:val="20"/>
          <w:color w:val="auto"/>
        </w:rPr>
      </w:pPr>
      <w:r>
        <w:rPr>
          <w:rFonts w:ascii="Times New Roman" w:cs="Times New Roman" w:eastAsia="Times New Roman" w:hAnsi="Times New Roman"/>
          <w:sz w:val="20"/>
          <w:szCs w:val="20"/>
          <w:color w:val="auto"/>
        </w:rPr>
        <w:t>Any manufacturing defect or error discovered after products have been produced and distributed could result in significant consequences, including costly recall procedures, re-stocking costs, damage to our reputation and potential for product liability claims.</w:t>
      </w:r>
    </w:p>
    <w:p>
      <w:pPr>
        <w:spacing w:after="0" w:line="18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expect to continue to contract with third parties for at least some aspects of the production of our products and product candidates. We also depend from time to time on single-source suppliers for certain materials used in the manufacturing of our products and product candidates. This increases the risk that we will not have sufficient quantities of our products or product candidates or such quantities at an acceptable cost, which could delay, prevent or impair our development or commercialization efforts.</w:t>
      </w:r>
    </w:p>
    <w:p>
      <w:pPr>
        <w:spacing w:after="0" w:line="195"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We currently rely on third parties for some aspects of the production of DEXTENZA and our product candidates, including AXPAXLI, for commercialization and preclinical testing and clinical trials. While we expect that our existing manufacturing facilities, or any expansions of our existing facilities or additional facilities that we might build, will be sufficient to meet our requirements for manufacturing DEXTENZA and any of our product candidates for which we may obtain marketing approval, including AXPAXLI, we may in the future need to rely on third-party manufacturers for some aspects of the manufacture of our products or product candidates.</w:t>
      </w:r>
    </w:p>
    <w:p>
      <w:pPr>
        <w:sectPr>
          <w:pgSz w:w="11880" w:h="15480" w:orient="portrait"/>
          <w:cols w:equalWidth="0" w:num="1">
            <w:col w:w="9700"/>
          </w:cols>
          <w:pgMar w:left="1080" w:top="106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700"/>
          </w:cols>
          <w:pgMar w:left="1080" w:top="1066" w:right="1100" w:bottom="0" w:gutter="0" w:footer="0" w:header="0"/>
          <w:type w:val="continuous"/>
        </w:sectPr>
      </w:pPr>
    </w:p>
    <w:bookmarkStart w:id="83" w:name="page84"/>
    <w:bookmarkEnd w:id="83"/>
    <w:p>
      <w:pPr>
        <w:ind w:right="20" w:firstLine="490"/>
        <w:spacing w:after="0"/>
        <w:rPr>
          <w:sz w:val="20"/>
          <w:szCs w:val="20"/>
          <w:color w:val="auto"/>
        </w:rPr>
      </w:pPr>
      <w:r>
        <w:rPr>
          <w:rFonts w:ascii="Times New Roman" w:cs="Times New Roman" w:eastAsia="Times New Roman" w:hAnsi="Times New Roman"/>
          <w:sz w:val="20"/>
          <w:szCs w:val="20"/>
          <w:color w:val="auto"/>
        </w:rPr>
        <w:t>We also depend on single-source suppliers for certain materials used in the manufacturing of our products and product candidates, including our supply of polyethylene glycol, or PEG, the molecule that forms the basis of our hydrogels, and other raw materials of our products and product candidates and for sterilization and packaging of the finished product. We do not have any long-term supply agreements in place for the clinical or commercial supply of any drug substances or raw materials for DEXTENZA or any of our product candidates, including AXPAXLI. We purchase drug substance and raw materials, including the chemical constituents for our hydrogel, from independent suppliers on a purchase order basis. We cannot ensure that our suppliers will remain in business, have sufficient capacity or supply to meet our needs or that they will not be purchased by one of our competitors or another company that is not interested in continuing to work with us. Our use of single-source suppliers of raw materials and other components used in the manufacturing of our products and product candidates could expose us to several risks, including disruptions in supply, price increases or late deliveries. Any performance failure or refusal to supply drug substance or raw materials on the part of our existing or future suppliers could delay clinical development, marketing approval or commercialization of our products. If our current suppliers do not perform as we expect, we may be required to replace one or more of these suppliers. Establishing additional or replacement suppliers could take a substantial amount of time, and it may be difficult to establish replacement suppliers who meet our quality standards and applicable regulatory requirements. For example, we depend on a sole source supplier for the supply of our PEG. This sole source supplier may be unwilling or unable to supply PEG to us reliably, continuously and at the levels we anticipate or are required by the</w:t>
      </w:r>
    </w:p>
    <w:p>
      <w:pPr>
        <w:spacing w:after="0" w:line="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20"/>
          <w:szCs w:val="20"/>
          <w:color w:val="auto"/>
        </w:rPr>
        <w:t>market. Although we believe that there are a number of potential long-term replacements to our suppliers, including our PEG supplier, we may incur added costs and delays in identifying and qualifying any such replacements.</w:t>
      </w:r>
    </w:p>
    <w:p>
      <w:pPr>
        <w:spacing w:after="0" w:line="163" w:lineRule="exact"/>
        <w:rPr>
          <w:sz w:val="20"/>
          <w:szCs w:val="20"/>
          <w:color w:val="auto"/>
        </w:rPr>
      </w:pPr>
    </w:p>
    <w:p>
      <w:pPr>
        <w:ind w:right="180" w:firstLine="490"/>
        <w:spacing w:after="0" w:line="280" w:lineRule="auto"/>
        <w:rPr>
          <w:sz w:val="20"/>
          <w:szCs w:val="20"/>
          <w:color w:val="auto"/>
        </w:rPr>
      </w:pPr>
      <w:r>
        <w:rPr>
          <w:rFonts w:ascii="Times New Roman" w:cs="Times New Roman" w:eastAsia="Times New Roman" w:hAnsi="Times New Roman"/>
          <w:sz w:val="20"/>
          <w:szCs w:val="20"/>
          <w:color w:val="auto"/>
        </w:rPr>
        <w:t>Reliance on third parties for aspects of the supply of our products and product candidates entails additional risks, including:</w:t>
      </w:r>
    </w:p>
    <w:p>
      <w:pPr>
        <w:spacing w:after="0" w:line="177" w:lineRule="exact"/>
        <w:rPr>
          <w:sz w:val="20"/>
          <w:szCs w:val="20"/>
          <w:color w:val="auto"/>
        </w:rPr>
      </w:pPr>
    </w:p>
    <w:p>
      <w:pPr>
        <w:ind w:left="860" w:hanging="363"/>
        <w:spacing w:after="0"/>
        <w:tabs>
          <w:tab w:leader="none" w:pos="86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the third party for regulatory compliance and quality assurance;</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breach of an agreement by the third party; and</w:t>
      </w:r>
    </w:p>
    <w:p>
      <w:pPr>
        <w:spacing w:after="0" w:line="252" w:lineRule="exact"/>
        <w:rPr>
          <w:rFonts w:ascii="Arial" w:cs="Arial" w:eastAsia="Arial" w:hAnsi="Arial"/>
          <w:sz w:val="20"/>
          <w:szCs w:val="20"/>
          <w:color w:val="auto"/>
        </w:rPr>
      </w:pPr>
    </w:p>
    <w:p>
      <w:pPr>
        <w:ind w:left="860" w:right="960" w:hanging="363"/>
        <w:spacing w:after="0" w:line="279" w:lineRule="auto"/>
        <w:tabs>
          <w:tab w:leader="none" w:pos="86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termination or nonrenewal of an agreement by the third party at a time that is costly or inconvenient for us.</w:t>
      </w:r>
    </w:p>
    <w:p>
      <w:pPr>
        <w:spacing w:after="0" w:line="164" w:lineRule="exact"/>
        <w:rPr>
          <w:sz w:val="20"/>
          <w:szCs w:val="20"/>
          <w:color w:val="auto"/>
        </w:rPr>
      </w:pPr>
    </w:p>
    <w:p>
      <w:pPr>
        <w:ind w:right="100" w:firstLine="489"/>
        <w:spacing w:after="0" w:line="245" w:lineRule="auto"/>
        <w:rPr>
          <w:sz w:val="20"/>
          <w:szCs w:val="20"/>
          <w:color w:val="auto"/>
        </w:rPr>
      </w:pPr>
      <w:r>
        <w:rPr>
          <w:rFonts w:ascii="Times New Roman" w:cs="Times New Roman" w:eastAsia="Times New Roman" w:hAnsi="Times New Roman"/>
          <w:sz w:val="20"/>
          <w:szCs w:val="20"/>
          <w:color w:val="auto"/>
        </w:rPr>
        <w:t>Third-party suppliers or manufacturers may not be able to comply with our specifications, quality assurance standards, cGMP regulations or similar regulatory requirements outside the United States. Our failure, or the failure of our third parties,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Further, reliance on third-party suppliers or manufacturers may adversely affect our future profit margins and our ability to commercialize any products that receive regulatory approval on a timely and competitive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collaborations with third parties to develop certain product candidates, and in the future we may enter into additional collaborations for the development or commercialization of our product candidates. We may also enter into collaboration, distribution or marketing arrangements for the commercialization of DEXTENZA or any product candidates for which we may obtain marketing approval, including AXPAXLI. If our collaborations are not successful, we may not be able to capitalize on the market potential of these products or product candidates.</w:t>
      </w:r>
    </w:p>
    <w:p>
      <w:pPr>
        <w:spacing w:after="0" w:line="195"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have entered into collaboration agreements with third parties, including our collaboration with AffaMed, in the past and may in the future utilize a variety of types of collaboration, distribution and other marketing arrangements with third parties to commercialize DEXTENZA, or any of our product candidates, including AXPAXLI, for which we may obtain marketing approval in markets outside the United States. We also may enter into arrangements with third parties to perform these services in the United States if we do not establish our own sales, marketing and distribution capabilities in the United States for such products or if we determine that such third-party arrangements are otherwise beneficial. We also may seek additional third-party collaborators for development and commercialization of product candidates, including AXPAXLI and OTX-TIC. Our likely collaborators for any sales, marketing, distribution,</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720"/>
          </w:cols>
          <w:pgMar w:left="1080" w:top="1064" w:right="1080" w:bottom="0" w:gutter="0" w:footer="0" w:header="0"/>
          <w:type w:val="continuous"/>
        </w:sectPr>
      </w:pPr>
    </w:p>
    <w:bookmarkStart w:id="84" w:name="page85"/>
    <w:bookmarkEnd w:id="84"/>
    <w:p>
      <w:pPr>
        <w:ind w:right="100"/>
        <w:spacing w:after="0" w:line="253" w:lineRule="auto"/>
        <w:rPr>
          <w:sz w:val="20"/>
          <w:szCs w:val="20"/>
          <w:color w:val="auto"/>
        </w:rPr>
      </w:pPr>
      <w:r>
        <w:rPr>
          <w:rFonts w:ascii="Times New Roman" w:cs="Times New Roman" w:eastAsia="Times New Roman" w:hAnsi="Times New Roman"/>
          <w:sz w:val="20"/>
          <w:szCs w:val="20"/>
          <w:color w:val="auto"/>
        </w:rPr>
        <w:t>development, licensing or broader collaboration arrangements include large and mid-size pharmaceutical companies, regional and national pharmaceutical companies and biotechnology companies. Our ability to generate revenues from these arrangements will depend on our collaborators’ abilities and efforts to successfully perform the functions assigned to them in these arrangements.</w:t>
      </w:r>
    </w:p>
    <w:p>
      <w:pPr>
        <w:spacing w:after="0" w:line="191" w:lineRule="exact"/>
        <w:rPr>
          <w:sz w:val="20"/>
          <w:szCs w:val="20"/>
          <w:color w:val="auto"/>
        </w:rPr>
      </w:pPr>
    </w:p>
    <w:p>
      <w:pPr>
        <w:ind w:right="80" w:firstLine="490"/>
        <w:spacing w:after="0" w:line="280" w:lineRule="auto"/>
        <w:rPr>
          <w:sz w:val="20"/>
          <w:szCs w:val="20"/>
          <w:color w:val="auto"/>
        </w:rPr>
      </w:pPr>
      <w:r>
        <w:rPr>
          <w:rFonts w:ascii="Times New Roman" w:cs="Times New Roman" w:eastAsia="Times New Roman" w:hAnsi="Times New Roman"/>
          <w:sz w:val="20"/>
          <w:szCs w:val="20"/>
          <w:color w:val="auto"/>
        </w:rPr>
        <w:t>Our collaboration with AffaMed poses, and any future collaborations likely will pose, a number of risks including the following:</w:t>
      </w:r>
    </w:p>
    <w:p>
      <w:pPr>
        <w:spacing w:after="0" w:line="177" w:lineRule="exact"/>
        <w:rPr>
          <w:sz w:val="20"/>
          <w:szCs w:val="20"/>
          <w:color w:val="auto"/>
        </w:rPr>
      </w:pPr>
    </w:p>
    <w:p>
      <w:pPr>
        <w:ind w:left="860" w:right="280" w:hanging="363"/>
        <w:spacing w:after="0" w:line="279"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amount and timing of efforts and resources that they will apply to these collaborations;</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perform their obligations as expected;</w:t>
      </w:r>
    </w:p>
    <w:p>
      <w:pPr>
        <w:spacing w:after="0" w:line="252" w:lineRule="exact"/>
        <w:rPr>
          <w:rFonts w:ascii="Arial" w:cs="Arial" w:eastAsia="Arial" w:hAnsi="Arial"/>
          <w:sz w:val="20"/>
          <w:szCs w:val="20"/>
          <w:color w:val="auto"/>
        </w:rPr>
      </w:pPr>
    </w:p>
    <w:p>
      <w:pPr>
        <w:ind w:left="860" w:right="160" w:hanging="363"/>
        <w:spacing w:after="0" w:line="249"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products or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spacing w:after="0" w:line="210" w:lineRule="exact"/>
        <w:rPr>
          <w:rFonts w:ascii="Arial" w:cs="Arial" w:eastAsia="Arial" w:hAnsi="Arial"/>
          <w:sz w:val="20"/>
          <w:szCs w:val="20"/>
          <w:color w:val="auto"/>
        </w:rPr>
      </w:pPr>
    </w:p>
    <w:p>
      <w:pPr>
        <w:ind w:left="860" w:right="120" w:hanging="363"/>
        <w:spacing w:after="0" w:line="260"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6" w:lineRule="exact"/>
        <w:rPr>
          <w:rFonts w:ascii="Arial" w:cs="Arial" w:eastAsia="Arial" w:hAnsi="Arial"/>
          <w:sz w:val="20"/>
          <w:szCs w:val="20"/>
          <w:color w:val="auto"/>
        </w:rPr>
      </w:pPr>
    </w:p>
    <w:p>
      <w:pPr>
        <w:ind w:left="860" w:hanging="363"/>
        <w:spacing w:after="0" w:line="260"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be subject to bankruptcy proceedings or other similar arrangements which may result in us having to return funds that we previously received, or in collaborators selling or transferring product licenses to other parties;</w:t>
      </w:r>
    </w:p>
    <w:p>
      <w:pPr>
        <w:spacing w:after="0" w:line="196" w:lineRule="exact"/>
        <w:rPr>
          <w:rFonts w:ascii="Arial" w:cs="Arial" w:eastAsia="Arial" w:hAnsi="Arial"/>
          <w:sz w:val="20"/>
          <w:szCs w:val="20"/>
          <w:color w:val="auto"/>
        </w:rPr>
      </w:pPr>
    </w:p>
    <w:p>
      <w:pPr>
        <w:jc w:val="both"/>
        <w:ind w:left="860" w:right="240" w:hanging="363"/>
        <w:spacing w:after="0" w:line="253"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04" w:lineRule="exact"/>
        <w:rPr>
          <w:rFonts w:ascii="Arial" w:cs="Arial" w:eastAsia="Arial" w:hAnsi="Arial"/>
          <w:sz w:val="20"/>
          <w:szCs w:val="20"/>
          <w:color w:val="auto"/>
        </w:rPr>
      </w:pPr>
    </w:p>
    <w:p>
      <w:pPr>
        <w:ind w:left="860" w:right="100" w:hanging="363"/>
        <w:spacing w:after="0" w:line="259"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98" w:lineRule="exact"/>
        <w:rPr>
          <w:rFonts w:ascii="Arial" w:cs="Arial" w:eastAsia="Arial" w:hAnsi="Arial"/>
          <w:sz w:val="20"/>
          <w:szCs w:val="20"/>
          <w:color w:val="auto"/>
        </w:rPr>
      </w:pPr>
    </w:p>
    <w:p>
      <w:pPr>
        <w:ind w:left="860" w:right="120" w:hanging="363"/>
        <w:spacing w:after="0" w:line="259"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98" w:lineRule="exact"/>
        <w:rPr>
          <w:rFonts w:ascii="Arial" w:cs="Arial" w:eastAsia="Arial" w:hAnsi="Arial"/>
          <w:sz w:val="20"/>
          <w:szCs w:val="20"/>
          <w:color w:val="auto"/>
        </w:rPr>
      </w:pPr>
    </w:p>
    <w:p>
      <w:pPr>
        <w:ind w:left="860" w:hanging="363"/>
        <w:spacing w:after="0" w:line="249"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 commercialization of products or product candidates, might lead to additional responsibilities for us with respect to products or product candidates, or might result in litigation or arbitration, any of which would divert management attention and resources, be time-consuming and expensive;</w:t>
      </w:r>
    </w:p>
    <w:p>
      <w:pPr>
        <w:spacing w:after="0" w:line="210" w:lineRule="exact"/>
        <w:rPr>
          <w:rFonts w:ascii="Arial" w:cs="Arial" w:eastAsia="Arial" w:hAnsi="Arial"/>
          <w:sz w:val="20"/>
          <w:szCs w:val="20"/>
          <w:color w:val="auto"/>
        </w:rPr>
      </w:pPr>
    </w:p>
    <w:p>
      <w:pPr>
        <w:ind w:left="860" w:right="60" w:hanging="363"/>
        <w:spacing w:after="0" w:line="260"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96" w:lineRule="exact"/>
        <w:rPr>
          <w:rFonts w:ascii="Arial" w:cs="Arial" w:eastAsia="Arial" w:hAnsi="Arial"/>
          <w:sz w:val="20"/>
          <w:szCs w:val="20"/>
          <w:color w:val="auto"/>
        </w:rPr>
      </w:pPr>
    </w:p>
    <w:p>
      <w:pPr>
        <w:ind w:left="860" w:right="240" w:hanging="363"/>
        <w:spacing w:after="0" w:line="279"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 and</w:t>
      </w:r>
    </w:p>
    <w:p>
      <w:pPr>
        <w:spacing w:after="0" w:line="178" w:lineRule="exact"/>
        <w:rPr>
          <w:rFonts w:ascii="Arial" w:cs="Arial" w:eastAsia="Arial" w:hAnsi="Arial"/>
          <w:sz w:val="20"/>
          <w:szCs w:val="20"/>
          <w:color w:val="auto"/>
        </w:rPr>
      </w:pPr>
    </w:p>
    <w:p>
      <w:pPr>
        <w:jc w:val="both"/>
        <w:ind w:left="860" w:right="480" w:hanging="363"/>
        <w:spacing w:after="0" w:line="260" w:lineRule="auto"/>
        <w:tabs>
          <w:tab w:leader="none" w:pos="86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for the convenience of the collaborator and, if terminated, we could be required to raise additional capital to pursue further development or commercialization of the applicable products or product candidates.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700"/>
          </w:cols>
          <w:pgMar w:left="1080" w:top="1064" w:right="1100" w:bottom="0" w:gutter="0" w:footer="0" w:header="0"/>
          <w:type w:val="continuous"/>
        </w:sectPr>
      </w:pPr>
    </w:p>
    <w:bookmarkStart w:id="85" w:name="page86"/>
    <w:bookmarkEnd w:id="85"/>
    <w:p>
      <w:pPr>
        <w:ind w:firstLine="490"/>
        <w:spacing w:after="0" w:line="243" w:lineRule="auto"/>
        <w:rPr>
          <w:sz w:val="20"/>
          <w:szCs w:val="20"/>
          <w:color w:val="auto"/>
        </w:rPr>
      </w:pPr>
      <w:r>
        <w:rPr>
          <w:rFonts w:ascii="Times New Roman" w:cs="Times New Roman" w:eastAsia="Times New Roman" w:hAnsi="Times New Roman"/>
          <w:sz w:val="20"/>
          <w:szCs w:val="20"/>
          <w:color w:val="auto"/>
        </w:rPr>
        <w:t>Collaboration agreements may not lead to the development or commercialization of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or if we are required to return previously received funds, or if product licenses are sold or transferred to another party as a result of a collaborators’ bankruptcy, our development of our products or product candidates could be delayed and we may need additional resources to develop our products or product candidates. For example, our former collaborator Regeneron terminated our collaboration in August 2021. As a result of the termination, we were relieved of obligations to reimburse Regeneron for certain development costs, up to an aggregate amount of $30.0 million in certain circumstances, were Regeneron to exercise its option but also ceased to be eligible to receive (i) reimbursement from Regeneron for ongoing research and development activities, (ii) a fee upon exercise of its option, (iii) payments upon the achievement of specified development and regulatory milestones of the products developed under the collaboration, or (iv) tiered, escalating royalties on such products. All of the risks relating to product development, regulatory approval and commercialization described in this periodic report also apply to the activities of our collaborators.</w:t>
      </w:r>
    </w:p>
    <w:p>
      <w:pPr>
        <w:spacing w:after="0" w:line="198" w:lineRule="exact"/>
        <w:rPr>
          <w:sz w:val="20"/>
          <w:szCs w:val="20"/>
          <w:color w:val="auto"/>
        </w:rPr>
      </w:pPr>
    </w:p>
    <w:p>
      <w:pPr>
        <w:ind w:right="620" w:firstLine="489"/>
        <w:spacing w:after="0" w:line="280" w:lineRule="auto"/>
        <w:rPr>
          <w:sz w:val="20"/>
          <w:szCs w:val="20"/>
          <w:color w:val="auto"/>
        </w:rPr>
      </w:pPr>
      <w:r>
        <w:rPr>
          <w:rFonts w:ascii="Times New Roman" w:cs="Times New Roman" w:eastAsia="Times New Roman" w:hAnsi="Times New Roman"/>
          <w:sz w:val="20"/>
          <w:szCs w:val="20"/>
          <w:color w:val="auto"/>
        </w:rPr>
        <w:t>Additionally, if a collaborator terminates its agreement with us, we may find it more difficult to attract new collaborators and our perception in the business and financial communities could be harmed.</w:t>
      </w:r>
    </w:p>
    <w:p>
      <w:pPr>
        <w:spacing w:after="0" w:line="16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establish additional collaborations, we may have to alter our development and commercialization plans and our business could be adversely affected.</w:t>
      </w:r>
    </w:p>
    <w:p>
      <w:pPr>
        <w:spacing w:after="0" w:line="165"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For some of our product candidates, we may decide to collaborate with pharmaceutical, biotechnology and medical device companies for the development and commercialization of one or more of our product candidates, such as our collaboration with AffaMed for the development and commercialization of DEXTENZA and OTX-TIC in specified territories in Asia.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subjects, the potential of competing products,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current or future license and collaboration agreements from entering into agreements on certain terms with potential collaborators. In addition, there have been a significant number of business combinations among large pharmaceutical companies that have resulted in a reduced number of potential future collaborators. If we are unable to reach agreements with suitable collaborators on a timely basis and on acceptable terms, we may have to curtail the development of a product candidate, reduce or delay one or more development programs, or limit potential commercialization activities. If we elect to fund and undertake development or commercialization activities on our own, we will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w:t>
      </w:r>
    </w:p>
    <w:p>
      <w:pPr>
        <w:spacing w:after="0" w:line="2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Although a significant portion of our clinical development is administered and managed by our own employees, we have relied, and may continue to rely, on third parties for certain aspects of our clinical development, and those third parties may not perform satisfactorily, including failing to meet deadlines for the completion of such trials.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employees have administered and managed a significant portion of our clinical development work to</w:t>
      </w:r>
    </w:p>
    <w:p>
      <w:pPr>
        <w:spacing w:after="0" w:line="248" w:lineRule="auto"/>
        <w:rPr>
          <w:sz w:val="20"/>
          <w:szCs w:val="20"/>
          <w:color w:val="auto"/>
        </w:rPr>
      </w:pPr>
      <w:r>
        <w:rPr>
          <w:rFonts w:ascii="Times New Roman" w:cs="Times New Roman" w:eastAsia="Times New Roman" w:hAnsi="Times New Roman"/>
          <w:sz w:val="20"/>
          <w:szCs w:val="20"/>
          <w:color w:val="auto"/>
        </w:rPr>
        <w:t>date. However, we also utilize third parties, such as CROs, to conduct clinical trials of certain of our product candidates, including AXPAXLI for the treatment of wet AMD, NPDR, and DME and OTX-TIC for the treatment of OAG or OHT, and we may continue to do so. If we deem necessary, we may also engage additional third parties, such as CROs, clinical data management organizations, medical institutions and clinical investigators, to conduct or assist in our clinical trials or other clinical development work. If we are unable to enter into an agreement with a CRO or other service provider when required, our product development activities could be delayed.</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700"/>
          </w:cols>
          <w:pgMar w:left="1080" w:top="1064" w:right="1100" w:bottom="0" w:gutter="0" w:footer="0" w:header="0"/>
          <w:type w:val="continuous"/>
        </w:sectPr>
      </w:pPr>
    </w:p>
    <w:bookmarkStart w:id="86" w:name="page87"/>
    <w:bookmarkEnd w:id="86"/>
    <w:p>
      <w:pPr>
        <w:ind w:firstLine="490"/>
        <w:spacing w:after="0" w:line="243" w:lineRule="auto"/>
        <w:rPr>
          <w:sz w:val="20"/>
          <w:szCs w:val="20"/>
          <w:color w:val="auto"/>
        </w:rPr>
      </w:pPr>
      <w:r>
        <w:rPr>
          <w:rFonts w:ascii="Times New Roman" w:cs="Times New Roman" w:eastAsia="Times New Roman" w:hAnsi="Times New Roman"/>
          <w:sz w:val="20"/>
          <w:szCs w:val="20"/>
          <w:color w:val="auto"/>
        </w:rPr>
        <w:t>Our reliance on third parties for research and development activities reduces our control over these activities but does not relieve us of our responsibilities. For example, we remain responsible for ensuring that each of our clinical trials, including our SOL and HELIOS registrational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even if a third party is administering certain activities. For example, in May 2020, we disclosed the receipt of interim data regarding our Phase 1 clinical trial of AXPAXLI, in Australia, for the treatment of wet AMD and other retinal diseases. We discovered, however, that our disclosures did not include complete information when we became aware in July 2020 that a clinical trial site had not entered certain data concerning these subjects into the clinical trial database in a timely manner. If we engage third parties and they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and maintain patent protection for our technology and products, or the scope of the patent protection obtained may not be sufficiently broad, such that our competitors could develop and commercialize technology and products similar or identical to ours, and our ability to successfully commercialize our technology and products may be impaired.</w:t>
      </w:r>
    </w:p>
    <w:p>
      <w:pPr>
        <w:spacing w:after="0" w:line="18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success depends in large part on our and our licensor’s ability to obtain and maintain patent protection in the United States and other countries with respect to our proprietary technology and products. We and our licensor have sought to protect our proprietary position by filing patent applications in the United States and abroad related to our novel technologies, products and product candidates. Our licensed and owned patent portfolio that we believe is integral to our business includes patents with terms that extend from 2030 to 2044. Given the amount of time required for the development, testing and regulatory review of new product candidates, we may have a reduced patent exclusivity period upon approval. The patent prosecution process is expensive and time-consuming, and we may not have filed or prosecuted and may not be able to file and prosecute all necessary or desirable patent applications at a reasonable cost or in a timely manner. It is also possible that we have failed, or may in the future fail, to identify patentable aspects of our research and development efforts before it is too late to obtain patent protection.</w:t>
      </w:r>
    </w:p>
    <w:p>
      <w:pPr>
        <w:spacing w:after="0" w:line="202" w:lineRule="exact"/>
        <w:rPr>
          <w:sz w:val="20"/>
          <w:szCs w:val="20"/>
          <w:color w:val="auto"/>
        </w:rPr>
      </w:pPr>
    </w:p>
    <w:p>
      <w:pPr>
        <w:ind w:firstLine="489"/>
        <w:spacing w:after="0" w:line="242" w:lineRule="auto"/>
        <w:rPr>
          <w:sz w:val="20"/>
          <w:szCs w:val="20"/>
          <w:color w:val="auto"/>
        </w:rPr>
      </w:pPr>
      <w:r>
        <w:rPr>
          <w:rFonts w:ascii="Times New Roman" w:cs="Times New Roman" w:eastAsia="Times New Roman" w:hAnsi="Times New Roman"/>
          <w:sz w:val="20"/>
          <w:szCs w:val="20"/>
          <w:color w:val="auto"/>
        </w:rPr>
        <w:t>In some circumstances, we do not have the right to control the preparation, filing and prosecution of patent applications, or to enforce or maintain the patents, covering technology that we license from third parties. In particular, the license agreement that we have entered into with Incept LLC, or Incept, an intellectual property holding company, which covers a portion of the patent rights and the technology for DEXTENZA, and may cover certain aspects of other hydrogel platform technology product candidates, such as OTX-TIC, to the extent they were invented prior to the September 2018 effective date of our latest amendment and restated license agreement with Incept, provides that, with limited exceptions, Incept has sole control and responsibility for ongoing prosecution for certain patents covered by the license agreement. In addition, although we have a right under the Incept license to bring suit against third parties who infringe such licensed patents in our fields, other Incept licensees may also have the right to enforce these patents in their own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For example, three of our licensed patents related to ReSure Sealant were invalidated and rendered unenforceable following their assertion by Integra LifeSciences Holdings Corporation, another licensee of Incept. We also have no right to control the defense of such licensed patents if their validity or scope is challenged before the U.S. Patent and Trademark Office, or USPTO, or other patent office or tribunal. In such instances, we would be required to rely on our licensor to defend such challenges, and our licensor may not do so in a way that would best protect our interests. Therefore, certain of our licensed patents and applications may not be prosecuted, enforced, defended or maintained in a manner consistent with the best interests of our business. If Incept fails to prosecute, enforce or maintain such patents, or loses rights to those patents, our licensed patent portfolio may be reduced or eliminated.</w:t>
      </w:r>
    </w:p>
    <w:p>
      <w:pPr>
        <w:spacing w:after="0" w:line="203" w:lineRule="exact"/>
        <w:rPr>
          <w:sz w:val="20"/>
          <w:szCs w:val="20"/>
          <w:color w:val="auto"/>
        </w:rPr>
      </w:pPr>
    </w:p>
    <w:p>
      <w:pPr>
        <w:jc w:val="both"/>
        <w:ind w:right="40" w:firstLine="490"/>
        <w:spacing w:after="0" w:line="260" w:lineRule="auto"/>
        <w:rPr>
          <w:sz w:val="20"/>
          <w:szCs w:val="20"/>
          <w:color w:val="auto"/>
        </w:rPr>
      </w:pPr>
      <w:r>
        <w:rPr>
          <w:rFonts w:ascii="Times New Roman" w:cs="Times New Roman" w:eastAsia="Times New Roman" w:hAnsi="Times New Roman"/>
          <w:sz w:val="20"/>
          <w:szCs w:val="20"/>
          <w:color w:val="auto"/>
        </w:rPr>
        <w:t>The patent position of pharmaceutical, biotechnology and medical device companies generally is highly uncertain, involves complex legal and factual questions and has in recent years been the subject of much litigation. As a result, the issuance, scope, validity, enforceability and commercial value of our patent rights, including our licensed patent rights,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700"/>
          </w:cols>
          <w:pgMar w:left="1080" w:top="1064" w:right="1100" w:bottom="0" w:gutter="0" w:footer="0" w:header="0"/>
          <w:type w:val="continuous"/>
        </w:sectPr>
      </w:pPr>
    </w:p>
    <w:bookmarkStart w:id="87" w:name="page88"/>
    <w:bookmarkEnd w:id="87"/>
    <w:p>
      <w:pPr>
        <w:ind w:right="140"/>
        <w:spacing w:after="0" w:line="260" w:lineRule="auto"/>
        <w:rPr>
          <w:sz w:val="20"/>
          <w:szCs w:val="20"/>
          <w:color w:val="auto"/>
        </w:rPr>
      </w:pPr>
      <w:r>
        <w:rPr>
          <w:rFonts w:ascii="Times New Roman" w:cs="Times New Roman" w:eastAsia="Times New Roman" w:hAnsi="Times New Roman"/>
          <w:sz w:val="20"/>
          <w:szCs w:val="20"/>
          <w:color w:val="auto"/>
        </w:rPr>
        <w:t>are highly uncertain. Our and our licensor’s pending and future patent applications may not result in patents being issued which protect our technology or products or which effectively prevent others from commercializing competitive technologies and products</w:t>
      </w:r>
    </w:p>
    <w:p>
      <w:pPr>
        <w:spacing w:after="0" w:line="183"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 were the first to make the inventions claimed in our owned or licensed patents or pending patent applications, or that we or our licensors were the first to file for patent protection of such inventions. Databases for patents and publications, and methods for searching them, are inherently limited so it is not practical to review and know the full scope of all issued and pending patent applications. As a result, the issuance, scope, validity, enforceability and commercial value of our licensed and owned patent rights are uncertain. Our pending and future patent applications may not result in patents being issued which protect our technology or products, in whole or in part, or which effectively prevent others from commercializing competitive technologies and products. Moreover, changes in either the patent laws or interpretation of the patent laws in the United States and other countries may diminish the value of our patents or narrow the scope of our patent protection.</w:t>
      </w:r>
    </w:p>
    <w:p>
      <w:pPr>
        <w:spacing w:after="0" w:line="206"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auto"/>
        </w:rPr>
        <w:t>Patent reform legislation could increase the uncertainties and costs surrounding the prosecution of our patent applications and the enforcement or defense of our issued patents. The Leahy-Smith America Invents Act, or the Leahy-Smith Act, includes a number of significant changes to United States patent law. These include provisions that affect the way patent applications are prosecuted and may also affect patent litigation. The USPTO developed new regulations and procedures to govern administration of the Leahy- Smith Act, and many of the substantive changes to patent law associated with the Leahy-Smith Act, and in particular, the first to file provisions, only became effective on March 16, 2013. The first to file provisions limit the rights of an inventor to patent an invention if not the first to file an application for patenting that invention, even if such invention was the first invention.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For example, the Leahy-Smith Act provides an administrative tribunal known as the Patent Trial and Appeals Board, or PTAB, that provides a venue for companies to challenge the validity of competitor patents at a cost that is much lower than district court litigation and on timelines that are much</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faster. Although it is not clear what, if any, long term impact the PTAB proceedings will have on the operation of our business, the results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our own licensed and owned patents will be challenged, thereby increasing the uncertainties and costs of maintaining and enforcing them. Moreover, if such challenges occur, as indicated above, we have no right to control the defense of our licensed portfolio. Instead, we would rely on our licensor to consider our suggestions and to defend such challenges, with the possibility that it may not do so in a way that best protects our interests.</w:t>
      </w:r>
    </w:p>
    <w:p>
      <w:pPr>
        <w:spacing w:after="0" w:line="202" w:lineRule="exact"/>
        <w:rPr>
          <w:sz w:val="20"/>
          <w:szCs w:val="20"/>
          <w:color w:val="auto"/>
        </w:rPr>
      </w:pPr>
    </w:p>
    <w:p>
      <w:pPr>
        <w:ind w:firstLine="489"/>
        <w:spacing w:after="0" w:line="245" w:lineRule="auto"/>
        <w:rPr>
          <w:sz w:val="20"/>
          <w:szCs w:val="20"/>
          <w:color w:val="auto"/>
        </w:rPr>
      </w:pPr>
      <w:r>
        <w:rPr>
          <w:rFonts w:ascii="Times New Roman" w:cs="Times New Roman" w:eastAsia="Times New Roman" w:hAnsi="Times New Roman"/>
          <w:sz w:val="20"/>
          <w:szCs w:val="20"/>
          <w:color w:val="auto"/>
        </w:rPr>
        <w:t xml:space="preserve">We may be subject to a third-party pre-issuance submission of prior art to the USPTO, or become involved in other contested proceedings such as opposition, derivation,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20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In the United States,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In certain circumstances, there can be a cause of action against the manufacturer of the approved product based on the activity of the prescriber under the theory of inducement of infringement, but such enforcement is more difficult to achieve. In addition, patents that cover surgical procedures are generally unenforceable.</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680"/>
          </w:cols>
          <w:pgMar w:left="1080" w:top="1064" w:right="1120" w:bottom="0" w:gutter="0" w:footer="0" w:header="0"/>
          <w:type w:val="continuous"/>
        </w:sectPr>
      </w:pPr>
    </w:p>
    <w:bookmarkStart w:id="88" w:name="page89"/>
    <w:bookmarkEnd w:id="88"/>
    <w:p>
      <w:pPr>
        <w:ind w:right="120" w:firstLine="490"/>
        <w:spacing w:after="0" w:line="250"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our licensed and owned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93"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Because the active pharmaceutical ingredients in our products and product candidates are available off-patent, or are soon to be available off-patent, competitors will be able to offer and sell products with the same active pharmaceutical ingredient as our products so long as these competitors do not infringe the patents that we own or license. For example, certain owned and licensed patents cover the composition of our products and product candidates and associated methods that relate to the hydrogel composition and drug-release features of the products and product candidates. As such, if a third party were able to design around the formulation and method patents that we own or license and create a different formulation using a different production process not covered by our owned or licensed patents, we may be unable to prevent that third party from manufacturing and marketing its product.</w:t>
      </w:r>
    </w:p>
    <w:p>
      <w:pPr>
        <w:spacing w:after="0" w:line="203"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licensed and owned patents or other intellectual property, which could be expensive, time-consuming and unsuccessful.</w:t>
      </w:r>
    </w:p>
    <w:p>
      <w:pPr>
        <w:spacing w:after="0" w:line="165"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Competitors may infringe our licensed or owned patents or other intellectual property. As a result, to counter infringement or unauthorized use, we may file infringement claims, which can be expensive and time-consuming. Under the terms of our license agreement with Incept, we have the right to initiate suit against third parties who we believe infringe on the patents subject to the license. Any claims we assert against perceived infringers could provoke these parties to assert counterclaims against us alleging that we infringe their patents. In addition, in a patent infringement proceeding, a court may decide that a patent we have rights to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0"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 xml:space="preserve">Our commercial success depends upon our ability to develop, manufacture, market and sell our products and product candidates and use our proprietary technologies without infringing the proprietary rights of third parties.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future adversarial proceedings or litigation regarding our patent portfolio or the patents of third parties. Such proceedings could also include contested post- grant proceedings such as oppositions,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reexamination, interference or derivation proceedings before the USPTO or foreign patent offices. 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or our licensor can. The risks of being involved in such litigation and proceedings may increase as our products or product candidates near commercialization and as we gain the greater visibility associated with being a public company. Third parties may assert infringement claims against us based on existing patents or patents that may be granted in the future. We may not be aware of all such intellectual property rights potentially relating to our products or product candidates and their uses, or we may incorrectly determine that a patent is invalid or does not cover a particular product or product candidate. Thus, we do not know with certainty that any of our products or product candidates, or our commercialization thereof, does not and will not infringe or otherwise violate any third party’s intellectual property.</w:t>
      </w:r>
    </w:p>
    <w:p>
      <w:pPr>
        <w:spacing w:after="0" w:line="204"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We have been made aware by a third party of patents relating to intracanalicular inserts that may relate to, and potentially could be asserted against, our intracanalicular insert product and product candidates, including DEXTENZA. We believe that DEXTENZA does not infringe any claims of these patents. We also believe that such claims, if and to the extent they were asserted against our product candidates, would be subject to claims of invalidity. We initiated legal</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720"/>
          </w:cols>
          <w:pgMar w:left="1080" w:top="1064" w:right="1080" w:bottom="0" w:gutter="0" w:footer="0" w:header="0"/>
          <w:type w:val="continuous"/>
        </w:sectPr>
      </w:pPr>
    </w:p>
    <w:bookmarkStart w:id="89" w:name="page90"/>
    <w:bookmarkEnd w:id="89"/>
    <w:p>
      <w:pPr>
        <w:spacing w:after="0" w:line="243" w:lineRule="auto"/>
        <w:rPr>
          <w:sz w:val="20"/>
          <w:szCs w:val="20"/>
          <w:color w:val="auto"/>
        </w:rPr>
      </w:pPr>
      <w:r>
        <w:rPr>
          <w:rFonts w:ascii="Times New Roman" w:cs="Times New Roman" w:eastAsia="Times New Roman" w:hAnsi="Times New Roman"/>
          <w:sz w:val="20"/>
          <w:szCs w:val="20"/>
          <w:color w:val="auto"/>
        </w:rPr>
        <w:t xml:space="preserve">proceedings against one of these patents and administrative proceedings against the other two patents in order to show that DEXTENZA does not infringe the claims of these patents or that these patents are invalid. Legal proceedings related to one of these patents has been dismissed by agreement of the parties without prejudice. The USPTO decided to proceed with the administrative proceeding related to one of the patents while declining to do so for the other after determining that we had not established a reasonable likelihood that we would prevail in establishing the unpatentability of certain claims. In June 2020, for the patent for which the USPTO decided to proceed with administrative proceedings, the PTAB, after an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determined that we had proven by a preponderance of the evidence that all claims of the patent at issue held by such third party were invalid. The third party appealed this decision, and in November 2021, the United States Court of Appeals for the Federal Circuit affirmed the holding of the PTAB. The period during which such third party may appeal the decision of the Court of Appeals has lapsed. We continue to believe that DEXTENZA does not infringe the claims of these patents and that, if and to the extent it were asserted against DEXTENZA, such patent would be subject to a claim of invalidity. We have become aware that the USPTO has issued a patent filed by this third party related to intracanalicular inserts containing dexamethasone. If this patent were asserted against DEXTENZA or other of our product candidates, we believe such patent would be non-infringed and subject to a claim of invalidity.</w:t>
      </w:r>
    </w:p>
    <w:p>
      <w:pPr>
        <w:spacing w:after="0" w:line="19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If we are found to infringe a third party’s intellectual property rights, we could be required to cease manufacturing or commercializing the infringing product or product candidate or to obtain a license from such third party to continue developing and marketing our products and product candidates.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containing such technology.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prevents us from commercializing our products or product candidates or forces us to cease some of our business operations. In addition, we may be forced to redesign our products or product candidates, seek new regulatory approvals thereby causing delays, and indemnify third parties pursuant to contractual agreements. Claims that we have misappropriated the confidential information or trade secrets of third parties could have a similar negative impact on our business.</w:t>
      </w:r>
    </w:p>
    <w:p>
      <w:pPr>
        <w:spacing w:after="0" w:line="206"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65"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license agreement with Incept, under which we license certain portions of our patent rights and the technology for our products and product candidates, imposes royalty and other financial obligations and other substantial performance obligations on us. We also may enter into additional licensing and funding arrangements with third parties that may impose diligence, development and commercialization timelines and milestone payment, royalty, insurance and other obligations on us. If we fail to comply with our obligations under current or future license and collaboration agreements, our counterparties may have the right to terminate these agreements, in which event we might not be able to manufacture or market any product that is covered by these agreements or may face other penalties under the agreements. Such an occurrence could diminish the value of our product.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9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Under the terms of our license agreement with Incept, we have agreed to assign to Incept our rights in certain patent applications filed at any time in any country for which one or more inventors are under an obligation of assignment to us. These assigned patent applications and any resulting patents are included within the specified patents owned or controlled by Incept to which we receive a license under the agreement. Incept has retained rights to practice the patents and technology licensed to us under the agreement for all purposes other than for researching, designing, developing, manufacturing and commercializing products that are delivered to or around the human eye for diagnostic, therapeutic or prophylactic purposes relating to ophthalmic diseases or conditions. As a result, termination of our agreement with Incept, based on our failure to comply with this or any other obligation under the agreement, would cause us to lose a significant portion of our rights to important intellectual property or technology upon which our business depends. Additionally, the field limit of the license and the requirement that we assign to Incept our rights in certain patent applications may restrict our ability to use certain of our licensed rights to expand our business outside of the specified fields. If we determine to pursue a strategy of expanding the use of the hydrogel technology outside of the</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680"/>
          </w:cols>
          <w:pgMar w:left="1080" w:top="1064" w:right="1120" w:bottom="0" w:gutter="0" w:footer="0" w:header="0"/>
          <w:type w:val="continuous"/>
        </w:sectPr>
      </w:pPr>
    </w:p>
    <w:bookmarkStart w:id="90" w:name="page91"/>
    <w:bookmarkEnd w:id="90"/>
    <w:p>
      <w:pPr>
        <w:ind w:right="60"/>
        <w:spacing w:after="0" w:line="253" w:lineRule="auto"/>
        <w:rPr>
          <w:sz w:val="20"/>
          <w:szCs w:val="20"/>
          <w:color w:val="auto"/>
        </w:rPr>
      </w:pPr>
      <w:r>
        <w:rPr>
          <w:rFonts w:ascii="Times New Roman" w:cs="Times New Roman" w:eastAsia="Times New Roman" w:hAnsi="Times New Roman"/>
          <w:sz w:val="20"/>
          <w:szCs w:val="20"/>
          <w:color w:val="auto"/>
        </w:rPr>
        <w:t>specified fields, we would need to negotiate and enter into an amendment to our existing license agreement with Incept or a new license agreement with Incept covering one or more additional such fields of use or utilize technologies that do not infringe on such licensed rights. We may not be able to obtain any such required amendment or new license or to invent or otherwise access other technology on commercially reasonable terms or at all.</w:t>
      </w:r>
    </w:p>
    <w:p>
      <w:pPr>
        <w:spacing w:after="0" w:line="192"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65" w:lineRule="exact"/>
        <w:rPr>
          <w:sz w:val="20"/>
          <w:szCs w:val="20"/>
          <w:color w:val="auto"/>
        </w:rPr>
      </w:pPr>
    </w:p>
    <w:p>
      <w:pPr>
        <w:ind w:right="120" w:firstLine="489"/>
        <w:spacing w:after="0" w:line="248" w:lineRule="auto"/>
        <w:rPr>
          <w:sz w:val="20"/>
          <w:szCs w:val="20"/>
          <w:color w:val="auto"/>
        </w:rPr>
      </w:pPr>
      <w:r>
        <w:rPr>
          <w:rFonts w:ascii="Times New Roman" w:cs="Times New Roman" w:eastAsia="Times New Roman" w:hAnsi="Times New Roman"/>
          <w:sz w:val="20"/>
          <w:szCs w:val="20"/>
          <w:color w:val="auto"/>
        </w:rPr>
        <w:t>Many of our employees were previously employed at universities or other biotechnology, medical device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19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such agreements may be ineffective, or such agreements may be breached by our counterparty.</w:t>
      </w:r>
    </w:p>
    <w:p>
      <w:pPr>
        <w:spacing w:after="0" w:line="191" w:lineRule="exact"/>
        <w:rPr>
          <w:sz w:val="20"/>
          <w:szCs w:val="20"/>
          <w:color w:val="auto"/>
        </w:rPr>
      </w:pPr>
    </w:p>
    <w:p>
      <w:pPr>
        <w:ind w:right="440" w:firstLine="489"/>
        <w:spacing w:after="0" w:line="280" w:lineRule="auto"/>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w:t>
      </w:r>
    </w:p>
    <w:p>
      <w:pPr>
        <w:spacing w:after="0" w:line="165"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could cause us to spend substantial resources and distract our personnel from their normal responsibilities.</w:t>
      </w:r>
    </w:p>
    <w:p>
      <w:pPr>
        <w:spacing w:after="0" w:line="165" w:lineRule="exact"/>
        <w:rPr>
          <w:sz w:val="20"/>
          <w:szCs w:val="20"/>
          <w:color w:val="auto"/>
        </w:rPr>
      </w:pPr>
    </w:p>
    <w:p>
      <w:pPr>
        <w:ind w:right="60" w:firstLine="489"/>
        <w:spacing w:after="0" w:line="244"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addition to seeking patents for our technology, products and product candidates, we also rely on trade secrets,</w:t>
      </w:r>
    </w:p>
    <w:p>
      <w:pPr>
        <w:spacing w:after="0"/>
        <w:rPr>
          <w:sz w:val="20"/>
          <w:szCs w:val="20"/>
          <w:color w:val="auto"/>
        </w:rPr>
      </w:pPr>
      <w:r>
        <w:rPr>
          <w:rFonts w:ascii="Times New Roman" w:cs="Times New Roman" w:eastAsia="Times New Roman" w:hAnsi="Times New Roman"/>
          <w:sz w:val="20"/>
          <w:szCs w:val="20"/>
          <w:color w:val="auto"/>
        </w:rPr>
        <w:t>including unpatented know-how, technology and other proprietary information, to maintain our competitive</w:t>
      </w:r>
    </w:p>
    <w:p>
      <w:pPr>
        <w:spacing w:after="0"/>
        <w:rPr>
          <w:sz w:val="20"/>
          <w:szCs w:val="20"/>
          <w:color w:val="auto"/>
        </w:rPr>
      </w:pPr>
      <w:r>
        <w:rPr>
          <w:rFonts w:ascii="Times New Roman" w:cs="Times New Roman" w:eastAsia="Times New Roman" w:hAnsi="Times New Roman"/>
          <w:sz w:val="20"/>
          <w:szCs w:val="20"/>
          <w:color w:val="auto"/>
        </w:rPr>
        <w:t>position. We seek to protect these trade secrets, in part, by entering into non-disclosure and confidentiality agreements</w:t>
      </w:r>
    </w:p>
    <w:p>
      <w:pPr>
        <w:spacing w:after="0"/>
        <w:rPr>
          <w:sz w:val="20"/>
          <w:szCs w:val="20"/>
          <w:color w:val="auto"/>
        </w:rPr>
      </w:pPr>
      <w:r>
        <w:rPr>
          <w:rFonts w:ascii="Times New Roman" w:cs="Times New Roman" w:eastAsia="Times New Roman" w:hAnsi="Times New Roman"/>
          <w:sz w:val="20"/>
          <w:szCs w:val="20"/>
          <w:color w:val="auto"/>
        </w:rPr>
        <w:t>with parties who have access to them, such as our employees, corporate collaborators, outside scientific collaborators,</w:t>
      </w:r>
    </w:p>
    <w:p>
      <w:pPr>
        <w:spacing w:after="0"/>
        <w:rPr>
          <w:sz w:val="20"/>
          <w:szCs w:val="20"/>
          <w:color w:val="auto"/>
        </w:rPr>
      </w:pPr>
      <w:r>
        <w:rPr>
          <w:rFonts w:ascii="Times New Roman" w:cs="Times New Roman" w:eastAsia="Times New Roman" w:hAnsi="Times New Roman"/>
          <w:sz w:val="20"/>
          <w:szCs w:val="20"/>
          <w:color w:val="auto"/>
        </w:rPr>
        <w:t>contract manufacturers, consultants, advisors and other third parties. We also enter into confidentiality and invention or</w:t>
      </w:r>
    </w:p>
    <w:p>
      <w:pPr>
        <w:spacing w:after="0"/>
        <w:rPr>
          <w:sz w:val="20"/>
          <w:szCs w:val="20"/>
          <w:color w:val="auto"/>
        </w:rPr>
      </w:pPr>
      <w:r>
        <w:rPr>
          <w:rFonts w:ascii="Times New Roman" w:cs="Times New Roman" w:eastAsia="Times New Roman" w:hAnsi="Times New Roman"/>
          <w:sz w:val="20"/>
          <w:szCs w:val="20"/>
          <w:color w:val="auto"/>
        </w:rPr>
        <w:t>patent assignment agreements with our employees and consultants. Despite these efforts, any of these parties may</w:t>
      </w:r>
    </w:p>
    <w:p>
      <w:pPr>
        <w:spacing w:after="0"/>
        <w:rPr>
          <w:sz w:val="20"/>
          <w:szCs w:val="20"/>
          <w:color w:val="auto"/>
        </w:rPr>
      </w:pPr>
      <w:r>
        <w:rPr>
          <w:rFonts w:ascii="Times New Roman" w:cs="Times New Roman" w:eastAsia="Times New Roman" w:hAnsi="Times New Roman"/>
          <w:sz w:val="20"/>
          <w:szCs w:val="20"/>
          <w:color w:val="auto"/>
        </w:rPr>
        <w:t>breach the agreements and disclose our proprietary information, including our trade secrets, and we may not be able to</w:t>
      </w:r>
    </w:p>
    <w:p>
      <w:pPr>
        <w:spacing w:after="0"/>
        <w:rPr>
          <w:sz w:val="20"/>
          <w:szCs w:val="20"/>
          <w:color w:val="auto"/>
        </w:rPr>
      </w:pPr>
      <w:r>
        <w:rPr>
          <w:rFonts w:ascii="Times New Roman" w:cs="Times New Roman" w:eastAsia="Times New Roman" w:hAnsi="Times New Roman"/>
          <w:sz w:val="20"/>
          <w:szCs w:val="20"/>
          <w:color w:val="auto"/>
        </w:rPr>
        <w:t>obtain adequate remedies for such breaches. Further, although we have governance procedures in place to vet the</w:t>
      </w:r>
    </w:p>
    <w:p>
      <w:pPr>
        <w:spacing w:after="0"/>
        <w:rPr>
          <w:sz w:val="20"/>
          <w:szCs w:val="20"/>
          <w:color w:val="auto"/>
        </w:rPr>
      </w:pPr>
      <w:r>
        <w:rPr>
          <w:rFonts w:ascii="Times New Roman" w:cs="Times New Roman" w:eastAsia="Times New Roman" w:hAnsi="Times New Roman"/>
          <w:sz w:val="20"/>
          <w:szCs w:val="20"/>
          <w:color w:val="auto"/>
        </w:rPr>
        <w:t>selection of specific software tools, the use of artificial intelligence solutions by us or any of our business partners may</w:t>
      </w:r>
    </w:p>
    <w:p>
      <w:pPr>
        <w:spacing w:after="0"/>
        <w:rPr>
          <w:sz w:val="20"/>
          <w:szCs w:val="20"/>
          <w:color w:val="auto"/>
        </w:rPr>
      </w:pPr>
      <w:r>
        <w:rPr>
          <w:rFonts w:ascii="Times New Roman" w:cs="Times New Roman" w:eastAsia="Times New Roman" w:hAnsi="Times New Roman"/>
          <w:sz w:val="20"/>
          <w:szCs w:val="20"/>
          <w:color w:val="auto"/>
        </w:rPr>
        <w:t>lead to the inadvertent disclosure of our confidential information and/or the loss of our trade secrets, proprietary</w:t>
      </w:r>
    </w:p>
    <w:p>
      <w:pPr>
        <w:spacing w:after="0"/>
        <w:rPr>
          <w:sz w:val="20"/>
          <w:szCs w:val="20"/>
          <w:color w:val="auto"/>
        </w:rPr>
      </w:pPr>
      <w:r>
        <w:rPr>
          <w:rFonts w:ascii="Times New Roman" w:cs="Times New Roman" w:eastAsia="Times New Roman" w:hAnsi="Times New Roman"/>
          <w:sz w:val="20"/>
          <w:szCs w:val="20"/>
          <w:color w:val="auto"/>
        </w:rPr>
        <w:t>information or other intellectual property. Enforcing a claim that a party illegally disclosed or misappropriated a trade</w:t>
      </w:r>
    </w:p>
    <w:p>
      <w:pPr>
        <w:spacing w:after="0"/>
        <w:rPr>
          <w:sz w:val="20"/>
          <w:szCs w:val="20"/>
          <w:color w:val="auto"/>
        </w:rPr>
      </w:pPr>
      <w:r>
        <w:rPr>
          <w:rFonts w:ascii="Times New Roman" w:cs="Times New Roman" w:eastAsia="Times New Roman" w:hAnsi="Times New Roman"/>
          <w:sz w:val="20"/>
          <w:szCs w:val="20"/>
          <w:color w:val="auto"/>
        </w:rPr>
        <w:t>secret is difficult, expensive and time-consuming, and the outcome is unpredictable. In addition, some courts are less</w:t>
      </w:r>
    </w:p>
    <w:p>
      <w:pPr>
        <w:spacing w:after="0"/>
        <w:rPr>
          <w:sz w:val="20"/>
          <w:szCs w:val="20"/>
          <w:color w:val="auto"/>
        </w:rPr>
      </w:pPr>
      <w:r>
        <w:rPr>
          <w:rFonts w:ascii="Times New Roman" w:cs="Times New Roman" w:eastAsia="Times New Roman" w:hAnsi="Times New Roman"/>
          <w:sz w:val="20"/>
          <w:szCs w:val="20"/>
          <w:color w:val="auto"/>
        </w:rPr>
        <w:t>willing or unwilling to protect trade secrets. If any of our trade secrets were to be lawfully obtained or independently</w:t>
      </w:r>
    </w:p>
    <w:p>
      <w:pPr>
        <w:spacing w:after="0"/>
        <w:rPr>
          <w:sz w:val="20"/>
          <w:szCs w:val="20"/>
          <w:color w:val="auto"/>
        </w:rPr>
      </w:pPr>
      <w:r>
        <w:rPr>
          <w:rFonts w:ascii="Times New Roman" w:cs="Times New Roman" w:eastAsia="Times New Roman" w:hAnsi="Times New Roman"/>
          <w:sz w:val="20"/>
          <w:szCs w:val="20"/>
          <w:color w:val="auto"/>
        </w:rPr>
        <w:t>developed by a competitor, we would have no right to prevent them, or those to whom they communicate it, from using</w:t>
      </w:r>
    </w:p>
    <w:p>
      <w:pPr>
        <w:spacing w:after="0"/>
        <w:rPr>
          <w:sz w:val="20"/>
          <w:szCs w:val="20"/>
          <w:color w:val="auto"/>
        </w:rPr>
      </w:pPr>
      <w:r>
        <w:rPr>
          <w:rFonts w:ascii="Times New Roman" w:cs="Times New Roman" w:eastAsia="Times New Roman" w:hAnsi="Times New Roman"/>
          <w:sz w:val="20"/>
          <w:szCs w:val="20"/>
          <w:color w:val="auto"/>
        </w:rPr>
        <w:t>that technology or information to compete with us. If any of our trade secrets were to be disclosed to or independently</w:t>
      </w:r>
    </w:p>
    <w:p>
      <w:pPr>
        <w:spacing w:after="0"/>
        <w:rPr>
          <w:sz w:val="20"/>
          <w:szCs w:val="20"/>
          <w:color w:val="auto"/>
        </w:rPr>
      </w:pPr>
      <w:r>
        <w:rPr>
          <w:rFonts w:ascii="Times New Roman" w:cs="Times New Roman" w:eastAsia="Times New Roman" w:hAnsi="Times New Roman"/>
          <w:sz w:val="20"/>
          <w:szCs w:val="20"/>
          <w:color w:val="auto"/>
        </w:rPr>
        <w:t>developed by a competitor, our competitive position would be harmed.</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680"/>
          </w:cols>
          <w:pgMar w:left="1080" w:top="1064" w:right="1120" w:bottom="0" w:gutter="0" w:footer="0" w:header="0"/>
          <w:type w:val="continuous"/>
        </w:sectPr>
      </w:pPr>
    </w:p>
    <w:bookmarkStart w:id="91" w:name="page92"/>
    <w:bookmarkEnd w:id="91"/>
    <w:p>
      <w:pPr>
        <w:ind w:right="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the FDA or comparable foreign regulatory authorities approve generic versions of our current commercial product or any of our future drug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18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Once an NDA is approved, the product covered thereby becomes a “reference-listed drug” in the FDA’s</w:t>
      </w:r>
    </w:p>
    <w:p>
      <w:pPr>
        <w:ind w:right="20"/>
        <w:spacing w:after="0" w:line="242" w:lineRule="auto"/>
        <w:rPr>
          <w:sz w:val="20"/>
          <w:szCs w:val="20"/>
          <w:color w:val="auto"/>
        </w:rPr>
      </w:pPr>
      <w:r>
        <w:rPr>
          <w:rFonts w:ascii="Times New Roman" w:cs="Times New Roman" w:eastAsia="Times New Roman" w:hAnsi="Times New Roman"/>
          <w:sz w:val="20"/>
          <w:szCs w:val="20"/>
          <w:color w:val="auto"/>
        </w:rPr>
        <w:t>publication, “Approved Drug Products with Therapeutic Equivalence Evaluations,” commonly known as the Orange Book. Manufacturers may seek approval of generic versions of reference-listed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From time to time the FDA may issue product-specific bioequivalence guidance regarding RLDs to help clarify its expectations for the content of an ANDA. The FDA issued what we believe was its first draft product-specific bioequivalence guidance for an intravitreally-administered drug in November 2025. The FDA has also indicated that it plans to issue a draft product-specific bioequivalence guidance for DEXTENZA in February 2026. The FDA may also meet confidentially with a generic manufacturer during its development process to provide guidance on such development.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211" w:lineRule="exact"/>
        <w:rPr>
          <w:sz w:val="20"/>
          <w:szCs w:val="20"/>
          <w:color w:val="auto"/>
        </w:rPr>
      </w:pPr>
    </w:p>
    <w:p>
      <w:pPr>
        <w:ind w:right="20" w:firstLine="490"/>
        <w:spacing w:after="0"/>
        <w:rPr>
          <w:sz w:val="20"/>
          <w:szCs w:val="20"/>
          <w:color w:val="auto"/>
        </w:rPr>
      </w:pPr>
      <w:r>
        <w:rPr>
          <w:rFonts w:ascii="Times New Roman" w:cs="Times New Roman" w:eastAsia="Times New Roman" w:hAnsi="Times New Roman"/>
          <w:sz w:val="20"/>
          <w:szCs w:val="20"/>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For the purposes of this provision, an NCE is a drug that contains an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0"/>
          <w:szCs w:val="20"/>
          <w:color w:val="auto"/>
        </w:rPr>
        <w:t>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192" w:lineRule="exact"/>
        <w:rPr>
          <w:sz w:val="20"/>
          <w:szCs w:val="20"/>
          <w:color w:val="auto"/>
        </w:rPr>
      </w:pPr>
    </w:p>
    <w:p>
      <w:pPr>
        <w:ind w:right="240" w:firstLine="490"/>
        <w:spacing w:after="0" w:line="250" w:lineRule="auto"/>
        <w:rPr>
          <w:sz w:val="20"/>
          <w:szCs w:val="20"/>
          <w:color w:val="auto"/>
        </w:rPr>
      </w:pPr>
      <w:r>
        <w:rPr>
          <w:rFonts w:ascii="Times New Roman" w:cs="Times New Roman" w:eastAsia="Times New Roman" w:hAnsi="Times New Roman"/>
          <w:sz w:val="20"/>
          <w:szCs w:val="20"/>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190"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color w:val="auto"/>
        </w:rPr>
        <w:t>Risks Related to Regulatory Approval and Marketing of Our Product Candidates and Other Legal Compliance Matters</w:t>
      </w:r>
    </w:p>
    <w:p>
      <w:pPr>
        <w:spacing w:after="0" w:line="1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some or all of our product candidates. If we or any current or future collaborator of ours is not able to obtain, or if there are delays in obtaining, required regulatory approvals, we or they will not be able to commercialize our product candidates, and our ability to generate revenue will be materially impaired.</w:t>
      </w:r>
    </w:p>
    <w:p>
      <w:pPr>
        <w:spacing w:after="0" w:line="195"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The activities associated with the development and commercialization of our products and product candidates, including design, testing, manufacture, safety, efficacy, recordkeeping, labeling, storage, approval, advertising, promotion, sale and distribution, are subject to comprehensive regulation by the FDA and other regulatory authorities in the United States and by the EMA and similar regulatory authorities outside the United States. Failure to obtain marketing approval for a product candidate will prevent us from commercializing the product candidate. We have only received approval to market DEXTENZA for specified indications in the United States. We have not received approval to market DEXTENZA in any jurisdiction outside the United States or to market any of our other product candidates</w:t>
      </w:r>
    </w:p>
    <w:p>
      <w:pPr>
        <w:sectPr>
          <w:pgSz w:w="11880" w:h="15480" w:orient="portrait"/>
          <w:cols w:equalWidth="0" w:num="1">
            <w:col w:w="9700"/>
          </w:cols>
          <w:pgMar w:left="1080" w:top="1066" w:right="110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700"/>
          </w:cols>
          <w:pgMar w:left="1080" w:top="1066" w:right="1100" w:bottom="0" w:gutter="0" w:footer="0" w:header="0"/>
          <w:type w:val="continuous"/>
        </w:sectPr>
      </w:pPr>
    </w:p>
    <w:bookmarkStart w:id="92" w:name="page93"/>
    <w:bookmarkEnd w:id="92"/>
    <w:p>
      <w:pPr>
        <w:ind w:right="180"/>
        <w:spacing w:after="0" w:line="253" w:lineRule="auto"/>
        <w:rPr>
          <w:sz w:val="20"/>
          <w:szCs w:val="20"/>
          <w:color w:val="auto"/>
        </w:rPr>
      </w:pPr>
      <w:r>
        <w:rPr>
          <w:rFonts w:ascii="Times New Roman" w:cs="Times New Roman" w:eastAsia="Times New Roman" w:hAnsi="Times New Roman"/>
          <w:sz w:val="20"/>
          <w:szCs w:val="20"/>
          <w:color w:val="auto"/>
        </w:rPr>
        <w:t>anywhere in the world. If we are unable to obtain a CE Certificate of Conformity for any of our other products or product candidates for which we seek European regulatory approval, we will be prohibited from commercializing such product or products in the European Union and other places which require the CE Certificate of Conformity. In such a case, the potential market to commercialize our products may be significantly smaller than we currently estimate.</w:t>
      </w:r>
    </w:p>
    <w:p>
      <w:pPr>
        <w:spacing w:after="0" w:line="19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process of obtaining marketing approvals, both in the United States and abroad, is expensive, inherently uncertain, and may take many years, if approval is obtained at all. Securing marketing approval requires the submission of extensive preclinical and clinical data and supporting information to regulatory authorities for each therapeutic indication to establish the product candidate’s safety and purity. Securing marketing approval also requires the submission of information about the product manufacturing process to, and inspection of manufacturing facilities by, the regulatory authorities. The FDA, the EMA or other regulatory authorities may determine that our product candidates are not safe or effective, are only moderately effective or have undesirable or unintended side effects, toxicities or other characteristics that preclude our obtaining marketing approval or prevent or limit commercial use.</w:t>
      </w:r>
    </w:p>
    <w:p>
      <w:pPr>
        <w:spacing w:after="0" w:line="20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97"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auto"/>
        </w:rPr>
        <w:t>As part of its review of the NDA for DEXTENZA for post-surgical ocular pain, the FDA completed inspections of three sites from our two completed Phase 3 clinical trials for compliance with the study protocol and Good Clinical Practices as well as two inspections of our manufacturing facility. The FDA identified several deficiencies and issued us multiple Forms 483s and two CRLs, each of which delayed our development and commercialization efforts. We may be subject to similar inspections in the future for any of our products and product candidates.</w:t>
      </w:r>
    </w:p>
    <w:p>
      <w:pPr>
        <w:spacing w:after="0" w:line="19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Changes in marketing approval policies during the development period, changes in or the enactment of additional statutes or regulations, or changes in regulatory review for each submitted product application, may cause delays in the approval or rejection of an application. The FDA, the EMA and regulatory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notwithstanding the existence of an SPA agreement. Our regulatory strategy both in the United States and in other jurisdictions is dependent on several assumptions which may not be verified or verifiable until data are available and a full regulatory submission is received and reviewed by the relevant regulatory agency. Any marketing approval we, or any current or future collaborator of ours, ultimately obtains may be limited or subject to restrictions or post-approval commitments that render the approved product not commercially viable.</w:t>
      </w:r>
    </w:p>
    <w:p>
      <w:pPr>
        <w:spacing w:after="0" w:line="199" w:lineRule="exact"/>
        <w:rPr>
          <w:sz w:val="20"/>
          <w:szCs w:val="20"/>
          <w:color w:val="auto"/>
        </w:rPr>
      </w:pPr>
    </w:p>
    <w:p>
      <w:pPr>
        <w:ind w:right="160" w:firstLine="489"/>
        <w:spacing w:after="0" w:line="259" w:lineRule="auto"/>
        <w:rPr>
          <w:sz w:val="20"/>
          <w:szCs w:val="20"/>
          <w:color w:val="auto"/>
        </w:rPr>
      </w:pPr>
      <w:r>
        <w:rPr>
          <w:rFonts w:ascii="Times New Roman" w:cs="Times New Roman" w:eastAsia="Times New Roman" w:hAnsi="Times New Roman"/>
          <w:sz w:val="20"/>
          <w:szCs w:val="20"/>
          <w:color w:val="auto"/>
        </w:rPr>
        <w:t>Accordingly, if we or any current or future collaborator of ours experiences delays in obtaining approval or if we or they fail to obtain approval of our product candidates, the commercial prospects for our product candidates may be harmed and our ability to generate revenues will be materially impaired.</w:t>
      </w:r>
    </w:p>
    <w:p>
      <w:pPr>
        <w:spacing w:after="0" w:line="18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if we, or any current or future collaborators, obtain marketing approvals for our product candidates, the terms of approvals, ongoing regulations and post-marketing restrictions for our products may limit how we manufacture and market our products, which could materially impair our ability to generate revenue.</w:t>
      </w:r>
    </w:p>
    <w:p>
      <w:pPr>
        <w:spacing w:after="0" w:line="183" w:lineRule="exact"/>
        <w:rPr>
          <w:sz w:val="20"/>
          <w:szCs w:val="20"/>
          <w:color w:val="auto"/>
        </w:rPr>
      </w:pPr>
    </w:p>
    <w:p>
      <w:pPr>
        <w:ind w:right="120" w:firstLine="490"/>
        <w:spacing w:after="0" w:line="280" w:lineRule="auto"/>
        <w:rPr>
          <w:sz w:val="20"/>
          <w:szCs w:val="20"/>
          <w:color w:val="auto"/>
        </w:rPr>
      </w:pPr>
      <w:r>
        <w:rPr>
          <w:rFonts w:ascii="Times New Roman" w:cs="Times New Roman" w:eastAsia="Times New Roman" w:hAnsi="Times New Roman"/>
          <w:sz w:val="20"/>
          <w:szCs w:val="20"/>
          <w:color w:val="auto"/>
        </w:rPr>
        <w:t>Once marketing approval has been granted, an approved product and its manufacturer and marketer are subject to ongoing review and extensive regulation.</w:t>
      </w:r>
    </w:p>
    <w:p>
      <w:pPr>
        <w:spacing w:after="0" w:line="164" w:lineRule="exact"/>
        <w:rPr>
          <w:sz w:val="20"/>
          <w:szCs w:val="20"/>
          <w:color w:val="auto"/>
        </w:rPr>
      </w:pPr>
    </w:p>
    <w:p>
      <w:pPr>
        <w:ind w:right="100" w:firstLine="489"/>
        <w:spacing w:after="0" w:line="253" w:lineRule="auto"/>
        <w:rPr>
          <w:sz w:val="20"/>
          <w:szCs w:val="20"/>
          <w:color w:val="auto"/>
        </w:rPr>
      </w:pPr>
      <w:r>
        <w:rPr>
          <w:rFonts w:ascii="Times New Roman" w:cs="Times New Roman" w:eastAsia="Times New Roman" w:hAnsi="Times New Roman"/>
          <w:sz w:val="20"/>
          <w:szCs w:val="20"/>
          <w:color w:val="auto"/>
        </w:rPr>
        <w:t>Manufacturers of approved products and those manufacturers’ facilities are required to comply with extensive FDA requirements, including ensuring that quality control and manufacturing procedures conform to cGMPs applicable to drug and biologic manufacturers or quality assurance standards applicable to medical device manufacturers, which include requirements relating to quality control and quality assurance as well as the corresponding maintenance of</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700"/>
          </w:cols>
          <w:pgMar w:left="1080" w:top="1064" w:right="1100" w:bottom="0" w:gutter="0" w:footer="0" w:header="0"/>
          <w:type w:val="continuous"/>
        </w:sectPr>
      </w:pPr>
    </w:p>
    <w:bookmarkStart w:id="93" w:name="page94"/>
    <w:bookmarkEnd w:id="93"/>
    <w:p>
      <w:pPr>
        <w:ind w:right="60"/>
        <w:spacing w:after="0" w:line="248" w:lineRule="auto"/>
        <w:rPr>
          <w:sz w:val="20"/>
          <w:szCs w:val="20"/>
          <w:color w:val="auto"/>
        </w:rPr>
      </w:pPr>
      <w:r>
        <w:rPr>
          <w:rFonts w:ascii="Times New Roman" w:cs="Times New Roman" w:eastAsia="Times New Roman" w:hAnsi="Times New Roman"/>
          <w:sz w:val="20"/>
          <w:szCs w:val="20"/>
          <w:color w:val="auto"/>
        </w:rPr>
        <w:t>records and documentation and reporting requirements. We, any contract manufacturers we may engage in the future, our current or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physicians, recordkeeping, and costly post-marketing studies or clinical trials and surveillance to monitor the safety or efficacy of the product such as the requirement to implement a risk evaluation and mitigation strategy.</w:t>
      </w:r>
    </w:p>
    <w:p>
      <w:pPr>
        <w:spacing w:after="0" w:line="194" w:lineRule="exact"/>
        <w:rPr>
          <w:sz w:val="20"/>
          <w:szCs w:val="20"/>
          <w:color w:val="auto"/>
        </w:rPr>
      </w:pPr>
    </w:p>
    <w:p>
      <w:pPr>
        <w:ind w:right="40" w:firstLine="490"/>
        <w:spacing w:after="0"/>
        <w:rPr>
          <w:sz w:val="20"/>
          <w:szCs w:val="20"/>
          <w:color w:val="auto"/>
        </w:rPr>
      </w:pPr>
      <w:r>
        <w:rPr>
          <w:rFonts w:ascii="Times New Roman" w:cs="Times New Roman" w:eastAsia="Times New Roman" w:hAnsi="Times New Roman"/>
          <w:sz w:val="20"/>
          <w:szCs w:val="20"/>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For example, the FDA required two post-approval studies as a condition for approval of our premarket approval application for ReSure Sealant, the last of which the FDA confirmed was complete in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April 2021. The studies were expensive, required extensive communication and coordination with the FDA, and took more than five years to complete. The FDA also has required us to conduct a post-approval clinical trial of DEXTENZA for the treatment of post-surgical ocular inflammation and pain and for the treatment of ocular itching associated with allergic conjunctivitis in pediatric populations in accordance with the Pediatric Research Equity Act of 2003.</w:t>
      </w:r>
    </w:p>
    <w:p>
      <w:pPr>
        <w:spacing w:after="0" w:line="19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Certain endpoint data we seek to include in any approved product labeling also may not make it into such labeling, including exploratory or secondary endpoint data such as patient- reported outcome measures. The FDA may limit the approved indication to a narrower subset of patients than we plan or intend based on the inclusion and exclusion criteria in our clinical trials or otherwise. For example, our strategy for the development of AXPAXLI is to pursue a broad label in diabetic retinal disease based on the HELIOS registrational program. Because the inclusion criteria for these trials specify patients with a defined diabetic retinopathy severity score, we will not be enrolling patients with proliferative diabetic retinopathy, the most severe form of the disease, at baseline. Additionally, although we would expect a portion of patients who are enrolled would have non-CI DME, the trial does not require patients to have non-CI DME for them to enroll. Furthermore, patients who have CI-DME at baseline will be excluded from the trial. For these reasons, the HELIOS program will not enroll patients encompassing the entire spectrum of diabetic retinal disease for which we may seek an indication in the label and the FDA may limit the approved labeling indication accordingly. The FDA may also require a Risk Evaluation and Mitigation Strategy,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EMA or a comparable non-U.S. regulatory authority approves our product candidates, we will have to comply with requirements including submissions of safety and other post-marketing information and reports and registration.</w:t>
      </w:r>
    </w:p>
    <w:p>
      <w:pPr>
        <w:spacing w:after="0" w:line="20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post-marketing studies or clinical trials to assess new safety risks or imposition of distribution restrictions or other restrictions under a REMS program. Other potential consequences include, among other things:</w:t>
      </w:r>
    </w:p>
    <w:p>
      <w:pPr>
        <w:spacing w:after="0" w:line="215" w:lineRule="exact"/>
        <w:rPr>
          <w:sz w:val="20"/>
          <w:szCs w:val="20"/>
          <w:color w:val="auto"/>
        </w:rPr>
      </w:pPr>
    </w:p>
    <w:p>
      <w:pPr>
        <w:ind w:left="860" w:right="120" w:hanging="363"/>
        <w:spacing w:after="0" w:line="279" w:lineRule="auto"/>
        <w:tabs>
          <w:tab w:leader="none" w:pos="86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our products, withdrawal of the product from the market or voluntary or mandatory product recalls;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clinical trials;</w:t>
      </w:r>
    </w:p>
    <w:p>
      <w:pPr>
        <w:spacing w:after="0" w:line="253" w:lineRule="exact"/>
        <w:rPr>
          <w:rFonts w:ascii="Arial" w:cs="Arial" w:eastAsia="Arial" w:hAnsi="Arial"/>
          <w:sz w:val="20"/>
          <w:szCs w:val="20"/>
          <w:color w:val="auto"/>
        </w:rPr>
      </w:pPr>
    </w:p>
    <w:p>
      <w:pPr>
        <w:ind w:left="860" w:right="300" w:hanging="363"/>
        <w:spacing w:after="0" w:line="279" w:lineRule="auto"/>
        <w:tabs>
          <w:tab w:leader="none" w:pos="86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license approvals;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 candidates; and</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8" w:lineRule="exact"/>
        <w:rPr>
          <w:sz w:val="20"/>
          <w:szCs w:val="20"/>
          <w:color w:val="auto"/>
        </w:rPr>
      </w:pPr>
    </w:p>
    <w:p>
      <w:pPr>
        <w:jc w:val="center"/>
        <w:ind w:right="220"/>
        <w:spacing w:after="0" w:line="280" w:lineRule="auto"/>
        <w:rPr>
          <w:sz w:val="20"/>
          <w:szCs w:val="20"/>
          <w:color w:val="auto"/>
        </w:rPr>
      </w:pPr>
      <w:r>
        <w:rPr>
          <w:rFonts w:ascii="Times New Roman" w:cs="Times New Roman" w:eastAsia="Times New Roman" w:hAnsi="Times New Roman"/>
          <w:sz w:val="20"/>
          <w:szCs w:val="20"/>
          <w:color w:val="auto"/>
        </w:rPr>
        <w:t>In addition, we are, or may become, subject to various U.S. federal, state, and local laws, regulations, and recommendations relating to safe working conditions, laboratory and manufacturing practices, the experimental use of</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700"/>
          </w:cols>
          <w:pgMar w:left="1080" w:top="1064" w:right="1100" w:bottom="0" w:gutter="0" w:footer="0" w:header="0"/>
          <w:type w:val="continuous"/>
        </w:sectPr>
      </w:pPr>
    </w:p>
    <w:bookmarkStart w:id="94" w:name="page95"/>
    <w:bookmarkEnd w:id="94"/>
    <w:p>
      <w:pPr>
        <w:ind w:right="240"/>
        <w:spacing w:after="0" w:line="253" w:lineRule="auto"/>
        <w:rPr>
          <w:sz w:val="20"/>
          <w:szCs w:val="20"/>
          <w:color w:val="auto"/>
        </w:rPr>
      </w:pPr>
      <w:r>
        <w:rPr>
          <w:rFonts w:ascii="Times New Roman" w:cs="Times New Roman" w:eastAsia="Times New Roman" w:hAnsi="Times New Roman"/>
          <w:sz w:val="20"/>
          <w:szCs w:val="20"/>
          <w:color w:val="auto"/>
        </w:rPr>
        <w:t>animals, and the use and disposal of hazardous substances, including radioactive compounds and infectious disease agents, used in connection with our research work. If we fail to comply with the laws and regulations pertaining to our business, we may be subject to sanctions, including the temporary or permanent suspension of operations, product recalls, marketing restrictions, and civil and criminal penalties.</w:t>
      </w:r>
    </w:p>
    <w:p>
      <w:pPr>
        <w:spacing w:after="0" w:line="191" w:lineRule="exact"/>
        <w:rPr>
          <w:sz w:val="20"/>
          <w:szCs w:val="20"/>
          <w:color w:val="auto"/>
        </w:rPr>
      </w:pPr>
    </w:p>
    <w:p>
      <w:pPr>
        <w:ind w:right="20" w:firstLine="489"/>
        <w:spacing w:after="0" w:line="243" w:lineRule="auto"/>
        <w:rPr>
          <w:sz w:val="20"/>
          <w:szCs w:val="20"/>
          <w:color w:val="auto"/>
        </w:rPr>
      </w:pPr>
      <w:r>
        <w:rPr>
          <w:rFonts w:ascii="Times New Roman" w:cs="Times New Roman" w:eastAsia="Times New Roman" w:hAnsi="Times New Roman"/>
          <w:sz w:val="20"/>
          <w:szCs w:val="20"/>
          <w:color w:val="auto"/>
        </w:rPr>
        <w:t xml:space="preserve">In addition, we could be adversely affected by several significant administrative law cases decided by the U.S. Supreme Court in 2024. In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for example, the court overruled </w:t>
      </w:r>
      <w:r>
        <w:rPr>
          <w:rFonts w:ascii="Times New Roman" w:cs="Times New Roman" w:eastAsia="Times New Roman" w:hAnsi="Times New Roman"/>
          <w:sz w:val="20"/>
          <w:szCs w:val="20"/>
          <w:i w:val="1"/>
          <w:iCs w:val="1"/>
          <w:color w:val="auto"/>
        </w:rPr>
        <w:t>Chevron U.S.A., Inc.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 Natural Resources Defense Council, Inc</w:t>
      </w:r>
      <w:r>
        <w:rPr>
          <w:rFonts w:ascii="Times New Roman" w:cs="Times New Roman" w:eastAsia="Times New Roman" w:hAnsi="Times New Roman"/>
          <w:sz w:val="20"/>
          <w:szCs w:val="20"/>
          <w:color w:val="auto"/>
        </w:rPr>
        <w:t>., which for 40 years required federal courts to defer to permissible agency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the APA. Additionally, in </w:t>
      </w:r>
      <w:r>
        <w:rPr>
          <w:rFonts w:ascii="Times New Roman" w:cs="Times New Roman" w:eastAsia="Times New Roman" w:hAnsi="Times New Roman"/>
          <w:sz w:val="20"/>
          <w:szCs w:val="20"/>
          <w:i w:val="1"/>
          <w:iCs w:val="1"/>
          <w:color w:val="auto"/>
        </w:rPr>
        <w:t>Corner Post, Inc. v. Board of Governors of the Federal Reserve System</w:t>
      </w:r>
      <w:r>
        <w:rPr>
          <w:rFonts w:ascii="Times New Roman" w:cs="Times New Roman" w:eastAsia="Times New Roman" w:hAnsi="Times New Roman"/>
          <w:sz w:val="20"/>
          <w:szCs w:val="20"/>
          <w:color w:val="auto"/>
        </w:rPr>
        <w:t xml:space="preserve"> ,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20"/>
          <w:szCs w:val="20"/>
          <w:i w:val="1"/>
          <w:iCs w:val="1"/>
          <w:color w:val="auto"/>
        </w:rPr>
        <w:t>Securities and Exchange Commission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Jarkesy</w:t>
      </w:r>
      <w:r>
        <w:rPr>
          <w:rFonts w:ascii="Times New Roman" w:cs="Times New Roman" w:eastAsia="Times New Roman" w:hAnsi="Times New Roman"/>
          <w:sz w:val="20"/>
          <w:szCs w:val="20"/>
          <w:color w:val="auto"/>
        </w:rPr>
        <w:t>, overturned regulatory agencies’ ability to impose civil penalties in administrative proceedings. These decisions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19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to file an amended complaint and continue to pursue this challenge. Thereafter, on September 30, 2025, the district court declined to dismiss the case and, instead, transferred it to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spacing w:after="0" w:line="20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Accordingly, in connection with our currently approved products and assuming we, or any current or future collaborators, receive marketing approval for one or more of our product candidates, we, and any current or future collaborators, and our and their contract manufacturers will continue to expend time, money and effort in all areas of regulatory compliance, including manufacturing, production, product surveillance and quality control. If we, and any current or future collaborators, are not able to comply with post-approval regulatory requirements, we, and any current or future collaborators, could have the marketing approvals for our products withdrawn by regulatory authorities and our, or any current or future collaborators’, ability to market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9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192" w:lineRule="exact"/>
        <w:rPr>
          <w:sz w:val="20"/>
          <w:szCs w:val="20"/>
          <w:color w:val="auto"/>
        </w:rPr>
      </w:pPr>
    </w:p>
    <w:p>
      <w:pPr>
        <w:ind w:right="180" w:firstLine="490"/>
        <w:spacing w:after="0" w:line="248" w:lineRule="auto"/>
        <w:rPr>
          <w:sz w:val="20"/>
          <w:szCs w:val="20"/>
          <w:color w:val="auto"/>
        </w:rPr>
      </w:pPr>
      <w:r>
        <w:rPr>
          <w:rFonts w:ascii="Times New Roman" w:cs="Times New Roman" w:eastAsia="Times New Roman" w:hAnsi="Times New Roman"/>
          <w:sz w:val="20"/>
          <w:szCs w:val="20"/>
          <w:color w:val="auto"/>
        </w:rPr>
        <w:t>The FDA and comparable regulatory agencies in foreign jurisdictions, such as the European Medicines Agency and Committee for Medicinal Products for Human Use, play an important role in the development of our product candidates by providing guidance on our clinical development programs and reviewing our regulatory submissions, including investigational new drug applications, requests for special designations and marketing applications. If these oversight and review activities are disrupted, then correspondingly our ability to develop and secure timely approval of our product candidates could be impacted in a negative manner.</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720"/>
          </w:cols>
          <w:pgMar w:left="1080" w:top="1064" w:right="1080" w:bottom="0" w:gutter="0" w:footer="0" w:header="0"/>
          <w:type w:val="continuous"/>
        </w:sectPr>
      </w:pPr>
    </w:p>
    <w:bookmarkStart w:id="95" w:name="page96"/>
    <w:bookmarkEnd w:id="95"/>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For example, the recent loss and retirement of FDA leadership and personnel could lead to disruptions and delays in FDA guidance, or review and approval of our product candidates. Pursuant to President Trump’s E.O. 14210, “Implementing the President’s ‘Department of Government Efficiency’ Workforce Optimization Initiative,” the Secretary of HHS announced on March 27, 2025, a reorganization and reduction in force across HHS of approximately 20,000 employees (82,000 to 62,000), with FDA’s workforce of approximately 20,000 to decrease by 3,500 full-time employees. Subsequently, the FDA indicated that roughly a quarter of those employees who received reduction in force notices had been reinstated. On July 14, 2025, following litigation reaching the U.S. Supreme Court, the administration began to carry out these layoffs across HHS, including the FDA. In November 2025, a Congressional Continuing Resolution ended the government shutdown, providing full-year funding for the FDA for FY 2026 through September 30, 2026, at approximately $7 billion with a slight increase in user fees for drug and device companies</w:t>
      </w:r>
    </w:p>
    <w:p>
      <w:pPr>
        <w:spacing w:after="0" w:line="20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Further, while the FDA’s review of marketing applications and other activities for new drugs and biologics is largely funded through the user fee program established under PDUFA, it remains unclear how the administration’s reduction in force and budget cuts will impact this program and the ability of the FDA to provide guidance and review our product candidates in a timely manner. For example, while the FDA reduction in force did not reportedly specifically target FDA reviewers, many operations, administrative and policy staff that help support such reviews were affected and those losses could lead to delays in PDUFA reviews and related activities. There have been several reports in which the FDA failed to meet a PDUFA goal date for approval of an NDA or BLA due to heavy workload and limited resources. In addition, while currently unclear, there is a risk that the reduction in 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198"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19"/>
          <w:szCs w:val="19"/>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188" w:lineRule="exact"/>
        <w:rPr>
          <w:sz w:val="20"/>
          <w:szCs w:val="20"/>
          <w:color w:val="auto"/>
        </w:rPr>
      </w:pPr>
    </w:p>
    <w:p>
      <w:pPr>
        <w:ind w:right="20" w:firstLine="489"/>
        <w:spacing w:after="0" w:line="260" w:lineRule="auto"/>
        <w:rPr>
          <w:sz w:val="20"/>
          <w:szCs w:val="20"/>
          <w:color w:val="auto"/>
        </w:rPr>
      </w:pPr>
      <w:r>
        <w:rPr>
          <w:rFonts w:ascii="Times New Roman" w:cs="Times New Roman" w:eastAsia="Times New Roman" w:hAnsi="Times New Roman"/>
          <w:sz w:val="20"/>
          <w:szCs w:val="20"/>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auto"/>
        </w:rPr>
        <w:t>During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and could impact our ability to access the public markets and obtain necessary capital to properly capitalize and continue our operations.</w:t>
      </w:r>
    </w:p>
    <w:p>
      <w:pPr>
        <w:spacing w:after="0" w:line="19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For example, the federal government shut down on October 1, 2025, and did not reopen for 43 days. With the shutdown, the FDA issued a public notice stating that agency operations would continue to the extent permitted by law, such as activities necessary to address imminent threats to the safety of human life and activities funded by carryover user fee funds. The FDA declared that, during the shutdown period, it did not have legal authority to accept user fees assessed for FY 2026 until an FY 2026 appropriation or Continuing Resolution for the FDA was enacted. As a result, the FDA was not able to accept any regulatory submissions for FY 2026 that required a fee payment and that was submitted during the lapse period. In addition, the FDA indicated that some of its regulatory science research, crucial for advancing product innovation, safety, and quality, would be curtailed during the lapse period.</w:t>
      </w:r>
    </w:p>
    <w:p>
      <w:pPr>
        <w:spacing w:after="0" w:line="202" w:lineRule="exact"/>
        <w:rPr>
          <w:sz w:val="20"/>
          <w:szCs w:val="20"/>
          <w:color w:val="auto"/>
        </w:rPr>
      </w:pPr>
    </w:p>
    <w:p>
      <w:pPr>
        <w:ind w:right="100" w:firstLine="540"/>
        <w:spacing w:after="0" w:line="250" w:lineRule="auto"/>
        <w:rPr>
          <w:sz w:val="20"/>
          <w:szCs w:val="20"/>
          <w:color w:val="auto"/>
        </w:rPr>
      </w:pPr>
      <w:r>
        <w:rPr>
          <w:rFonts w:ascii="Times New Roman" w:cs="Times New Roman" w:eastAsia="Times New Roman" w:hAnsi="Times New Roman"/>
          <w:sz w:val="20"/>
          <w:szCs w:val="20"/>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700"/>
          </w:cols>
          <w:pgMar w:left="1080" w:top="1064" w:right="1100" w:bottom="0" w:gutter="0" w:footer="0" w:header="0"/>
          <w:type w:val="continuous"/>
        </w:sectPr>
      </w:pPr>
    </w:p>
    <w:bookmarkStart w:id="96" w:name="page97"/>
    <w:bookmarkEnd w:id="96"/>
    <w:p>
      <w:pPr>
        <w:ind w:right="220"/>
        <w:spacing w:after="0" w:line="280" w:lineRule="auto"/>
        <w:rPr>
          <w:sz w:val="20"/>
          <w:szCs w:val="20"/>
          <w:color w:val="auto"/>
        </w:rPr>
      </w:pPr>
      <w:r>
        <w:rPr>
          <w:rFonts w:ascii="Times New Roman" w:cs="Times New Roman" w:eastAsia="Times New Roman" w:hAnsi="Times New Roman"/>
          <w:sz w:val="20"/>
          <w:szCs w:val="20"/>
          <w:color w:val="auto"/>
        </w:rPr>
        <w:t>similar restrictions or other policy measures in response to a similar public health emergency and may also experience delays in their regulatory activities.</w:t>
      </w:r>
    </w:p>
    <w:p>
      <w:pPr>
        <w:spacing w:after="0" w:line="164" w:lineRule="exact"/>
        <w:rPr>
          <w:sz w:val="20"/>
          <w:szCs w:val="20"/>
          <w:color w:val="auto"/>
        </w:rPr>
      </w:pPr>
    </w:p>
    <w:p>
      <w:pPr>
        <w:ind w:right="320" w:firstLine="490"/>
        <w:spacing w:after="0" w:line="250" w:lineRule="auto"/>
        <w:rPr>
          <w:sz w:val="20"/>
          <w:szCs w:val="20"/>
          <w:color w:val="auto"/>
        </w:rPr>
      </w:pPr>
      <w:r>
        <w:rPr>
          <w:rFonts w:ascii="Times New Roman" w:cs="Times New Roman" w:eastAsia="Times New Roman" w:hAnsi="Times New Roman"/>
          <w:sz w:val="20"/>
          <w:szCs w:val="20"/>
          <w:color w:val="auto"/>
        </w:rPr>
        <w:t>Accordingly, if any of the foregoing developments and others impact the ability of the FDA to provide us with guidance regarding our clinical development programs or delay the agency’s review and processing of our regulatory submissions, including INDs, NDAs, or BLAs, our business would be negatively impacted. Further, any future government shutdown could impact our ability to access the public markets and obtain necessary capital to properly capitalize and continue our operations.</w:t>
      </w:r>
    </w:p>
    <w:p>
      <w:pPr>
        <w:spacing w:after="0" w:line="194"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substantial penalties if we fail to comply with regulatory requirements or if we experience unanticipated problems with our products.</w:t>
      </w:r>
    </w:p>
    <w:p>
      <w:pPr>
        <w:spacing w:after="0" w:line="165"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In addition,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 Accordingly, if we receive marketing approval for one or more of our product candidates, we will continue to expend time, money and effort in all areas of regulatory compliance, including manufacturing, production, product surveillance and quality control. If we fail to comply with these requirements, we could have the marketing approvals for our products withdrawn by regulatory authorities and our ability to market any products could be limited, which could adversely affect our ability to achieve or sustain profitability.</w:t>
      </w:r>
    </w:p>
    <w:p>
      <w:pPr>
        <w:spacing w:after="0" w:line="204" w:lineRule="exact"/>
        <w:rPr>
          <w:sz w:val="20"/>
          <w:szCs w:val="20"/>
          <w:color w:val="auto"/>
        </w:rPr>
      </w:pPr>
    </w:p>
    <w:p>
      <w:pPr>
        <w:ind w:right="60" w:firstLine="489"/>
        <w:spacing w:after="0" w:line="242" w:lineRule="auto"/>
        <w:rPr>
          <w:sz w:val="20"/>
          <w:szCs w:val="20"/>
          <w:color w:val="auto"/>
        </w:rPr>
      </w:pPr>
      <w:r>
        <w:rPr>
          <w:rFonts w:ascii="Times New Roman" w:cs="Times New Roman" w:eastAsia="Times New Roman" w:hAnsi="Times New Roman"/>
          <w:sz w:val="20"/>
          <w:szCs w:val="20"/>
          <w:color w:val="auto"/>
        </w:rPr>
        <w:t>For example, on September 9, 2025, the President issued a Memorandum directing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Make America Healthy Again Commission released a report declaring that the FDA, HHS, FTC and DOJ “will increase oversight and enforcement under current authorities for violations of direct-to- consumer (DTC) prescription drug advertising laws.”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 While we believe we maintain a robust compliance program and processes designed to ensure that all such activities are performed in a legal and compliant manner, given the administration’s enforcement position on these issues, we may be at increased risk that the FDA, DOJ and FTC will find our DTC and other digital campaigns, including social media activities, are not in compliance with fair balance requirements and anticipated rule changes at the FDA and possibly other agencies.</w:t>
      </w:r>
    </w:p>
    <w:p>
      <w:pPr>
        <w:spacing w:after="0" w:line="21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700"/>
          </w:cols>
          <w:pgMar w:left="1080" w:top="1064" w:right="1100" w:bottom="0" w:gutter="0" w:footer="0" w:header="0"/>
          <w:type w:val="continuous"/>
        </w:sectPr>
      </w:pPr>
    </w:p>
    <w:bookmarkStart w:id="97" w:name="page98"/>
    <w:bookmarkEnd w:id="97"/>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suit is entitled to a share of any recovery or settlement.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suits, also commonly referred to as “whistleblower suits,” are often brought by current or former employees. In a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suit, the government must decide whether to intervene and prosecute the case. If it declines, the individual may pursue the case alone.</w:t>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Similar restrictions apply to the approval of our products in the European Union. The holder of a marketing</w:t>
      </w:r>
    </w:p>
    <w:p>
      <w:pPr>
        <w:ind w:right="20"/>
        <w:spacing w:after="0" w:line="246" w:lineRule="auto"/>
        <w:rPr>
          <w:sz w:val="20"/>
          <w:szCs w:val="20"/>
          <w:color w:val="auto"/>
        </w:rPr>
      </w:pPr>
      <w:r>
        <w:rPr>
          <w:rFonts w:ascii="Times New Roman" w:cs="Times New Roman" w:eastAsia="Times New Roman" w:hAnsi="Times New Roman"/>
          <w:sz w:val="20"/>
          <w:szCs w:val="20"/>
          <w:color w:val="auto"/>
        </w:rPr>
        <w:t>authorization is required to comply with a range of requirements applicable to the manufacturing, marketing, promotion and sale of medicinal products. These include: compliance with the European Union’s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the laws of the respective member states of the European Union, or EU Member States. The failure to comply with these and other requirements of the European Union can also lead to significant penalties and sanctions.</w:t>
      </w:r>
    </w:p>
    <w:p>
      <w:pPr>
        <w:spacing w:after="0" w:line="201" w:lineRule="exact"/>
        <w:rPr>
          <w:sz w:val="20"/>
          <w:szCs w:val="20"/>
          <w:color w:val="auto"/>
        </w:rPr>
      </w:pPr>
    </w:p>
    <w:p>
      <w:pPr>
        <w:ind w:firstLine="489"/>
        <w:spacing w:after="0" w:line="253" w:lineRule="auto"/>
        <w:rPr>
          <w:sz w:val="20"/>
          <w:szCs w:val="20"/>
          <w:color w:val="auto"/>
        </w:rPr>
      </w:pPr>
      <w:r>
        <w:rPr>
          <w:rFonts w:ascii="Times New Roman" w:cs="Times New Roman" w:eastAsia="Times New Roman" w:hAnsi="Times New Roman"/>
          <w:sz w:val="20"/>
          <w:szCs w:val="20"/>
          <w:color w:val="auto"/>
        </w:rPr>
        <w:t>Violations of the FDCA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 Failure to comply with regulatory requirements, may yield various results, including:</w:t>
      </w:r>
    </w:p>
    <w:p>
      <w:pPr>
        <w:spacing w:after="0" w:line="205" w:lineRule="exact"/>
        <w:rPr>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such products, manufacturers or manufacturing processes;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labeling or marketing of a product;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product distribution or use of a product;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warning letters or untitled letters;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the products from the market;</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recall of products;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permit the import or export of our products;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damage to relationships with any potential collaborators;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9700"/>
          </w:cols>
          <w:pgMar w:left="1080" w:top="1064" w:right="1100" w:bottom="0" w:gutter="0" w:footer="0" w:header="0"/>
          <w:type w:val="continuous"/>
        </w:sectPr>
      </w:pPr>
    </w:p>
    <w:bookmarkStart w:id="98" w:name="page99"/>
    <w:bookmarkEnd w:id="98"/>
    <w:p>
      <w:pPr>
        <w:ind w:left="860" w:hanging="363"/>
        <w:spacing w:after="0"/>
        <w:tabs>
          <w:tab w:leader="none" w:pos="86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unfavorable press coverage and damage to our reputation; or</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involving patients using our products.</w:t>
      </w:r>
    </w:p>
    <w:p>
      <w:pPr>
        <w:spacing w:after="0" w:line="239" w:lineRule="exact"/>
        <w:rPr>
          <w:sz w:val="20"/>
          <w:szCs w:val="20"/>
          <w:color w:val="auto"/>
        </w:rPr>
      </w:pPr>
    </w:p>
    <w:p>
      <w:pPr>
        <w:ind w:right="100" w:firstLine="489"/>
        <w:spacing w:after="0" w:line="259" w:lineRule="auto"/>
        <w:rPr>
          <w:sz w:val="20"/>
          <w:szCs w:val="20"/>
          <w:color w:val="auto"/>
        </w:rPr>
      </w:pPr>
      <w:r>
        <w:rPr>
          <w:rFonts w:ascii="Times New Roman" w:cs="Times New Roman" w:eastAsia="Times New Roman" w:hAnsi="Times New Roman"/>
          <w:sz w:val="20"/>
          <w:szCs w:val="20"/>
          <w:color w:val="auto"/>
        </w:rPr>
        <w:t>Similar restrictions apply to the approval of our products in the European Union. The holder of the marketing authorization is required to comply with a range of requirements applicable to the manufacturing, marketing, promotion and sale of medicinal products.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healthcare providers, physicians and third-party payors are currently and will continue to be subject, directly or indirectly,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92" w:lineRule="exact"/>
        <w:rPr>
          <w:sz w:val="20"/>
          <w:szCs w:val="20"/>
          <w:color w:val="auto"/>
        </w:rPr>
      </w:pPr>
    </w:p>
    <w:p>
      <w:pPr>
        <w:ind w:right="320" w:firstLine="490"/>
        <w:spacing w:after="0"/>
        <w:rPr>
          <w:sz w:val="20"/>
          <w:szCs w:val="20"/>
          <w:color w:val="auto"/>
        </w:rPr>
      </w:pPr>
      <w:r>
        <w:rPr>
          <w:rFonts w:ascii="Times New Roman" w:cs="Times New Roman" w:eastAsia="Times New Roman" w:hAnsi="Times New Roman"/>
          <w:sz w:val="20"/>
          <w:szCs w:val="20"/>
          <w:color w:val="auto"/>
        </w:rPr>
        <w:t>Healthcare providers, physicians and third-party payors will play a primary role in the recommendation and prescription and use of our products and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Restrictions under applicable federal and state healthcare laws and regulations include the following:</w:t>
      </w:r>
    </w:p>
    <w:p>
      <w:pPr>
        <w:spacing w:after="0" w:line="254" w:lineRule="exact"/>
        <w:rPr>
          <w:sz w:val="20"/>
          <w:szCs w:val="20"/>
          <w:color w:val="auto"/>
        </w:rPr>
      </w:pPr>
    </w:p>
    <w:p>
      <w:pPr>
        <w:ind w:left="860" w:right="60" w:hanging="363"/>
        <w:spacing w:after="0" w:line="249"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0" w:lineRule="exact"/>
        <w:rPr>
          <w:rFonts w:ascii="Arial" w:cs="Arial" w:eastAsia="Arial" w:hAnsi="Arial"/>
          <w:sz w:val="20"/>
          <w:szCs w:val="20"/>
          <w:color w:val="auto"/>
        </w:rPr>
      </w:pPr>
    </w:p>
    <w:p>
      <w:pPr>
        <w:ind w:left="860" w:hanging="363"/>
        <w:spacing w:after="0" w:line="248"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207" w:lineRule="exact"/>
        <w:rPr>
          <w:rFonts w:ascii="Arial" w:cs="Arial" w:eastAsia="Arial" w:hAnsi="Arial"/>
          <w:sz w:val="20"/>
          <w:szCs w:val="20"/>
          <w:color w:val="auto"/>
        </w:rPr>
      </w:pPr>
    </w:p>
    <w:p>
      <w:pPr>
        <w:jc w:val="both"/>
        <w:ind w:left="860" w:right="320" w:hanging="363"/>
        <w:spacing w:after="0" w:line="260"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96" w:lineRule="exact"/>
        <w:rPr>
          <w:rFonts w:ascii="Arial" w:cs="Arial" w:eastAsia="Arial" w:hAnsi="Arial"/>
          <w:sz w:val="20"/>
          <w:szCs w:val="20"/>
          <w:color w:val="auto"/>
        </w:rPr>
      </w:pPr>
    </w:p>
    <w:p>
      <w:pPr>
        <w:ind w:left="860" w:right="260" w:hanging="363"/>
        <w:spacing w:after="0" w:line="260"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96" w:lineRule="exact"/>
        <w:rPr>
          <w:rFonts w:ascii="Arial" w:cs="Arial" w:eastAsia="Arial" w:hAnsi="Arial"/>
          <w:sz w:val="20"/>
          <w:szCs w:val="20"/>
          <w:color w:val="auto"/>
        </w:rPr>
      </w:pPr>
    </w:p>
    <w:p>
      <w:pPr>
        <w:ind w:left="860" w:right="80" w:hanging="363"/>
        <w:spacing w:after="0" w:line="279"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Payments Sunshine Act requires applicable manufacturers of covered products to report payments and other transfers of value to physicians, other healthcare providers and teaching hospitals; and</w:t>
      </w:r>
    </w:p>
    <w:p>
      <w:pPr>
        <w:spacing w:after="0" w:line="178" w:lineRule="exact"/>
        <w:rPr>
          <w:rFonts w:ascii="Arial" w:cs="Arial" w:eastAsia="Arial" w:hAnsi="Arial"/>
          <w:sz w:val="20"/>
          <w:szCs w:val="20"/>
          <w:color w:val="auto"/>
        </w:rPr>
      </w:pPr>
    </w:p>
    <w:p>
      <w:pPr>
        <w:ind w:left="860" w:right="80" w:hanging="363"/>
        <w:spacing w:after="0" w:line="260" w:lineRule="auto"/>
        <w:tabs>
          <w:tab w:leader="none" w:pos="86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2" w:lineRule="exact"/>
        <w:rPr>
          <w:sz w:val="20"/>
          <w:szCs w:val="20"/>
          <w:color w:val="auto"/>
        </w:rPr>
      </w:pPr>
    </w:p>
    <w:p>
      <w:pPr>
        <w:ind w:right="260" w:firstLine="490"/>
        <w:spacing w:after="0" w:line="248" w:lineRule="auto"/>
        <w:rPr>
          <w:sz w:val="20"/>
          <w:szCs w:val="20"/>
          <w:color w:val="auto"/>
        </w:rPr>
      </w:pPr>
      <w:r>
        <w:rPr>
          <w:rFonts w:ascii="Times New Roman" w:cs="Times New Roman" w:eastAsia="Times New Roman" w:hAnsi="Times New Roman"/>
          <w:sz w:val="20"/>
          <w:szCs w:val="20"/>
          <w:color w:val="auto"/>
        </w:rPr>
        <w:t>Some state laws require pharmaceutical companies to comply with the pharmaceutical industry’s voluntary compliance guidelines and the relevant compliance guidance promulgated by the federal government and may require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ectPr>
          <w:pgSz w:w="11880" w:h="15480" w:orient="portrait"/>
          <w:cols w:equalWidth="0" w:num="1">
            <w:col w:w="9700"/>
          </w:cols>
          <w:pgMar w:left="1080" w:top="108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9700"/>
          </w:cols>
          <w:pgMar w:left="1080" w:top="1080" w:right="1100" w:bottom="0" w:gutter="0" w:footer="0" w:header="0"/>
          <w:type w:val="continuous"/>
        </w:sectPr>
      </w:pPr>
    </w:p>
    <w:bookmarkStart w:id="99" w:name="page100"/>
    <w:bookmarkEnd w:id="99"/>
    <w:p>
      <w:pPr>
        <w:ind w:firstLine="490"/>
        <w:spacing w:after="0" w:line="244" w:lineRule="auto"/>
        <w:rPr>
          <w:sz w:val="20"/>
          <w:szCs w:val="20"/>
          <w:color w:val="auto"/>
        </w:rPr>
      </w:pPr>
      <w:r>
        <w:rPr>
          <w:rFonts w:ascii="Times New Roman" w:cs="Times New Roman" w:eastAsia="Times New Roman" w:hAnsi="Times New Roman"/>
          <w:sz w:val="20"/>
          <w:szCs w:val="20"/>
          <w:color w:val="auto"/>
        </w:rPr>
        <w:t>If our operations or the operations of our present and future collaborators are found to be in violation of any of the laws described above or any governmental regulations that apply to us or them, we or they may be subject to penalties, including civil and criminal penalties, damages, fines and the curtailment or restructuring of our operations. Any penalties, damages, fines, curtailment or restructuring of our operations could adversely affect our or their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3" w:lineRule="exact"/>
        <w:rPr>
          <w:sz w:val="20"/>
          <w:szCs w:val="20"/>
          <w:color w:val="auto"/>
        </w:rPr>
      </w:pPr>
    </w:p>
    <w:p>
      <w:pPr>
        <w:ind w:right="40" w:firstLine="489"/>
        <w:spacing w:after="0" w:line="243" w:lineRule="auto"/>
        <w:rPr>
          <w:sz w:val="20"/>
          <w:szCs w:val="20"/>
          <w:color w:val="auto"/>
        </w:rPr>
      </w:pPr>
      <w:r>
        <w:rPr>
          <w:rFonts w:ascii="Times New Roman" w:cs="Times New Roman" w:eastAsia="Times New Roman" w:hAnsi="Times New Roman"/>
          <w:sz w:val="20"/>
          <w:szCs w:val="20"/>
          <w:color w:val="auto"/>
        </w:rPr>
        <w:t>Efforts to ensure that our business with third parties will comply with applicable healthcare laws and regulations will involve substantial costs. For example, we are engaged in an ongoing effort to improve our healthcare compliance program and establish a more robust compliance infrastructure. We may fail to establish appropriate compliance measures, and even with a stronger program in place,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provision of benefits or advantages to physicians to induce or encourage the prescription, recommendation, endorsement, purchase, supply, order or use of medicinal products is also prohibited in other jurisdictions. The provision of benefits or advantages to physicians is governed by the national anti-bribery laws of EU Member States and the UK Bribery Act 2010. Payments made to physicians in certain EU Member States must be publicly disclosed and often must be the subject of prior notification and approval by the physician’s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201"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legislation or executive actions may increase the difficulty and cost for us and any current or future collaborators to obtain marketing approval of and commercialize our products or product candidates and affect the prices we, or they, may obtain.</w:t>
      </w:r>
    </w:p>
    <w:p>
      <w:pPr>
        <w:spacing w:after="0" w:line="18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In the United States and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future collaborators, to profitably sell any drugs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drugs. If reimbursement of our products is unavailable or limited in scope, our business could be materially harmed.</w:t>
      </w:r>
    </w:p>
    <w:p>
      <w:pPr>
        <w:spacing w:after="0" w:line="203" w:lineRule="exact"/>
        <w:rPr>
          <w:sz w:val="20"/>
          <w:szCs w:val="20"/>
          <w:color w:val="auto"/>
        </w:rPr>
      </w:pPr>
    </w:p>
    <w:p>
      <w:pPr>
        <w:ind w:right="240" w:firstLine="490"/>
        <w:spacing w:after="0" w:line="248" w:lineRule="auto"/>
        <w:rPr>
          <w:sz w:val="20"/>
          <w:szCs w:val="20"/>
          <w:color w:val="auto"/>
        </w:rPr>
      </w:pPr>
      <w:r>
        <w:rPr>
          <w:rFonts w:ascii="Times New Roman" w:cs="Times New Roman" w:eastAsia="Times New Roman" w:hAnsi="Times New Roman"/>
          <w:sz w:val="20"/>
          <w:szCs w:val="20"/>
          <w:color w:val="auto"/>
        </w:rPr>
        <w:t>Further, since enactment of the Patient Protection and Affordable Care Act, or PPACA, there have been, and continue to be, numerous legal challenges and Congressional actions to repeal and replace provisions of the law. For example, with enactment of the Tax Act, Congress repealed the “individual mandate.” In addition, under the OBBBA, Congress discontinued certain premium subsidy payments for PPACA plan participants and modified certain other aspects of the PPACA. Litigation and legislation over the PPACA may continue, with unpredictable and uncertain results.</w:t>
      </w:r>
    </w:p>
    <w:p>
      <w:pPr>
        <w:spacing w:after="0" w:line="193"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20"/>
          <w:szCs w:val="20"/>
          <w:color w:val="auto"/>
        </w:rPr>
        <w:t>The American Taxpayer Relief Act of 2012 reduced Medicare payments to several providers and increased the statute of limitations period for the government to recover overpayments to providers from three to five years. Further, with passage of the IRA in August 2022, Congress authorized Medicare to negotiate lower prices for certain costly single -source drug and biologic products that do not have competing generics or biosimilars. This provision is limited in terms of the number of pharmaceuticals whose prices can be negotiated in any given year and it only applies to drug</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9700"/>
          </w:cols>
          <w:pgMar w:left="1080" w:top="1064" w:right="1100" w:bottom="0" w:gutter="0" w:footer="0" w:header="0"/>
          <w:type w:val="continuous"/>
        </w:sectPr>
      </w:pPr>
    </w:p>
    <w:bookmarkStart w:id="100" w:name="page101"/>
    <w:bookmarkEnd w:id="100"/>
    <w:p>
      <w:pPr>
        <w:ind w:right="20"/>
        <w:spacing w:after="0" w:line="246" w:lineRule="auto"/>
        <w:rPr>
          <w:sz w:val="20"/>
          <w:szCs w:val="20"/>
          <w:color w:val="auto"/>
        </w:rPr>
      </w:pPr>
      <w:r>
        <w:rPr>
          <w:rFonts w:ascii="Times New Roman" w:cs="Times New Roman" w:eastAsia="Times New Roman" w:hAnsi="Times New Roman"/>
          <w:sz w:val="20"/>
          <w:szCs w:val="20"/>
          <w:color w:val="auto"/>
        </w:rPr>
        <w:t>products that have been approved for at least 9 years and biologics that have been licensed for 13 years. Drugs and biologics that have been approved for a single rare disease or condition are categorically excluded from price negotiation. With the passage of the One Big Beautiful Bill Act (OBBBA) in July 2025, Congress extended this exemption to include drugs and biologics with more than one orphan designation and more than one approved indication. In addition, the new legislation provides that if pharmaceutical companies raise prices in Medicare faster than the rate of inflation, they must pay rebates back to the government for the difference. The IRA also capped Medicare out-of-pocket drug costs at an estimated $2,000 a year beginning in 2025.</w:t>
      </w:r>
    </w:p>
    <w:p>
      <w:pPr>
        <w:spacing w:after="0" w:line="201"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20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and uncertainty surrounding U.S. and international trade policies may adversely impact our business and operating results.</w:t>
      </w:r>
    </w:p>
    <w:p>
      <w:pPr>
        <w:spacing w:after="0" w:line="165" w:lineRule="exact"/>
        <w:rPr>
          <w:sz w:val="20"/>
          <w:szCs w:val="20"/>
          <w:color w:val="auto"/>
        </w:rPr>
      </w:pPr>
    </w:p>
    <w:p>
      <w:pPr>
        <w:ind w:right="100" w:firstLine="489"/>
        <w:spacing w:after="0" w:line="243" w:lineRule="auto"/>
        <w:rPr>
          <w:sz w:val="20"/>
          <w:szCs w:val="20"/>
          <w:color w:val="auto"/>
        </w:rPr>
      </w:pPr>
      <w:r>
        <w:rPr>
          <w:rFonts w:ascii="Times New Roman" w:cs="Times New Roman" w:eastAsia="Times New Roman" w:hAnsi="Times New Roman"/>
          <w:sz w:val="20"/>
          <w:szCs w:val="20"/>
          <w:color w:val="auto"/>
        </w:rPr>
        <w:t>In the spring of 2025, the U.S. government initiated a series of tariff-related actions against U.S. trading partners. On April 2, 2025, President Trump issued an executive order announcing a “baseline” reciprocal tariff of 10% on all U.S. trading partners effective April 5, 2025, and higher individualized reciprocal tariffs on 57 countries (with certain product exemptions for pharmaceutical-related products, among others). Previously, the Trump Administration had imposed a 25% tariff on Canada and Mexico for goods not covered by the United States-Mexico-Canada Agreement, or USMCA,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Trump Administration delayed the effective date of such tariffs for all countries except China to August 1, 2025. Later, the United States and China reached a framework agreement that ultimately resulted in the suspension of the higher reciprocal tariffs on China until November 10, 2025. 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w:t>
      </w:r>
    </w:p>
    <w:p>
      <w:pPr>
        <w:spacing w:after="0" w:line="203"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Since the April reciprocal tariffs announcement, the European Union, Japan, South Korea, Switzerland and the United Kingdom, among others, have reached deals with the U.S. that include reduced tariff rates to varying levels and other measures. On July 31, 2025, President Trump issued an Executive Order detailing new reciprocal tariff rates for individual countries that took effect on August 7, 2025. The new reciprocal rates, which are consistent with the rates reflected in the trade deals already announced, range from 10% to 41%. The new rates do not apply to Canada, China, Mexico and a few other countries. For China, the 10% baseline reciprocal tariff announced in April remains in effect, in addition to a minimum of a 10% tariff due to drug trafficking. Regarding Canada and Mexico, the rate remains 25% for goods that are not covered by the USMCA for Mexico and, effective August 1, 2025, was increased to 35% on imports from Canada that are not covered by the USMCA. President Trump also announced a further 10% increase on non-USMCA goods from Canada, but it is unclear when such increase will take effect. The European Union, Japan, South Korea, Switzerland (and Liechtenstein), the United Kingdom and others have reached agreements with the U.S. that cap pharmaceutical tariffs at 15%. In addition, an agreement with Malaysia provides a zero percent tariff exemption for pharmaceutical products that are not patented in the U.S. and are used in pharmaceutical applications, and an agreement with Switzerland and Lichenstein caps tariffs on pharmaceuticals imported from those two countries at 15 percent. Finally, an agreement with Taiwan concluded on January 15, 2026, eliminates tariffs on generic pharmaceuticals and their active ingredients imported from Taiwan.</w:t>
      </w:r>
    </w:p>
    <w:p>
      <w:pPr>
        <w:spacing w:after="0" w:line="209"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9700"/>
          </w:cols>
          <w:pgMar w:left="1080" w:top="1064" w:right="1100" w:bottom="0" w:gutter="0" w:footer="0" w:header="0"/>
          <w:type w:val="continuous"/>
        </w:sectPr>
      </w:pPr>
    </w:p>
    <w:bookmarkStart w:id="101" w:name="page102"/>
    <w:bookmarkEnd w:id="101"/>
    <w:p>
      <w:pPr>
        <w:ind w:right="60" w:firstLine="490"/>
        <w:spacing w:after="0" w:line="238" w:lineRule="auto"/>
        <w:rPr>
          <w:sz w:val="20"/>
          <w:szCs w:val="20"/>
          <w:color w:val="auto"/>
        </w:rPr>
      </w:pPr>
      <w:r>
        <w:rPr>
          <w:rFonts w:ascii="Times New Roman" w:cs="Times New Roman" w:eastAsia="Times New Roman" w:hAnsi="Times New Roman"/>
          <w:sz w:val="20"/>
          <w:szCs w:val="20"/>
          <w:color w:val="auto"/>
        </w:rPr>
        <w:t>Separately, in April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U.S. would face a 100% tariff. At the same time, President Trump indicated that these tariffs could be avoided by building pharmaceutical manufacturing facilities in the U.S. Thereafter, President Trump delayed the October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effective date of the tariffs on branded or patented pharmaceutical products announcing that the administration had now “begun preparing” tariffs on manufacturers that do not build in the U.S. or enter into a most-favored-nation drug pricing agreement with the Trump Administration.</w:t>
      </w:r>
    </w:p>
    <w:p>
      <w:pPr>
        <w:spacing w:after="0" w:line="20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202"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Further, some of our collaborators and suppliers are located in China. Trade tensions and conflicts between the United States and China have been escalated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w:t>
      </w:r>
    </w:p>
    <w:p>
      <w:pPr>
        <w:spacing w:after="0" w:line="19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165" w:lineRule="exact"/>
        <w:rPr>
          <w:sz w:val="20"/>
          <w:szCs w:val="20"/>
          <w:color w:val="auto"/>
        </w:rPr>
      </w:pPr>
    </w:p>
    <w:p>
      <w:pPr>
        <w:ind w:right="120" w:firstLine="490"/>
        <w:spacing w:after="0" w:line="250" w:lineRule="auto"/>
        <w:rPr>
          <w:sz w:val="20"/>
          <w:szCs w:val="20"/>
          <w:color w:val="auto"/>
        </w:rPr>
      </w:pPr>
      <w:r>
        <w:rPr>
          <w:rFonts w:ascii="Times New Roman" w:cs="Times New Roman" w:eastAsia="Times New Roman" w:hAnsi="Times New Roman"/>
          <w:sz w:val="20"/>
          <w:szCs w:val="20"/>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reduce the costs of pharmaceuticals under Medicare and Medicaid, and reform government program reimbursement methodologies for products.</w:t>
      </w:r>
    </w:p>
    <w:p>
      <w:pPr>
        <w:spacing w:after="0" w:line="19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in October 2020, the Department of Health and Human Services, or HHS, and the FDA published a final rule allowing states and other entities to develop a Section 804 Importation Program, or SIP, to import certain prescription drugs from Canada into the United States. Several states have passed laws allowing for the importation of drugs from Canada. North Dakota</w:t>
      </w:r>
      <w:r>
        <w:rPr>
          <w:rFonts w:ascii="Arial" w:cs="Arial" w:eastAsia="Arial" w:hAnsi="Arial"/>
          <w:sz w:val="20"/>
          <w:szCs w:val="20"/>
          <w:color w:val="auto"/>
        </w:rPr>
        <w:t> </w:t>
      </w:r>
      <w:r>
        <w:rPr>
          <w:rFonts w:ascii="Times New Roman" w:cs="Times New Roman" w:eastAsia="Times New Roman" w:hAnsi="Times New Roman"/>
          <w:sz w:val="20"/>
          <w:szCs w:val="20"/>
          <w:color w:val="auto"/>
        </w:rPr>
        <w:t>and Virginia</w:t>
      </w:r>
      <w:r>
        <w:rPr>
          <w:rFonts w:ascii="Arial" w:cs="Arial" w:eastAsia="Arial" w:hAnsi="Arial"/>
          <w:sz w:val="20"/>
          <w:szCs w:val="20"/>
          <w:color w:val="auto"/>
        </w:rPr>
        <w:t> </w:t>
      </w:r>
      <w:r>
        <w:rPr>
          <w:rFonts w:ascii="Times New Roman" w:cs="Times New Roman" w:eastAsia="Times New Roman" w:hAnsi="Times New Roman"/>
          <w:sz w:val="20"/>
          <w:szCs w:val="20"/>
          <w:color w:val="auto"/>
        </w:rPr>
        <w:t>have passed legislation establishing workgroups to examine the impact of a state importation program.</w:t>
      </w:r>
      <w:r>
        <w:rPr>
          <w:rFonts w:ascii="Arial" w:cs="Arial" w:eastAsia="Arial" w:hAnsi="Arial"/>
          <w:sz w:val="20"/>
          <w:szCs w:val="20"/>
          <w:color w:val="auto"/>
        </w:rPr>
        <w:t> </w:t>
      </w:r>
      <w:r>
        <w:rPr>
          <w:rFonts w:ascii="Times New Roman" w:cs="Times New Roman" w:eastAsia="Times New Roman" w:hAnsi="Times New Roman"/>
          <w:sz w:val="20"/>
          <w:szCs w:val="20"/>
          <w:color w:val="auto"/>
        </w:rPr>
        <w:t>As of May 2024, five states (Colorado, Florida, Maine, New Hampshire and New Mexico) had submitted Section 804 Importation Program proposals to the FDA.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draft proposals for pre-review and meet with the agency to obtain initial feedback from FDA prior to formally submitting their Section 804 importation program (SIP) proposals. The intent of these meetings is to assist states in developing their proposals by further clarifying requirements, enhancing the quality of proposals submitted to the agency and ultimately shortening the review timeline.</w:t>
      </w:r>
    </w:p>
    <w:p>
      <w:pPr>
        <w:spacing w:after="0" w:line="212"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On August 16, 2022, the Inflation Reduction Act of 2022, or IRA, was signed into law by former President Biden. The legislation requires manufacturers of certain drugs to engage in price negotiations with Medicare, with prices that can be negotiated subject to a cap; imposes rebates under Medicare Part B and Medicare Part D to penalize price increases that outpace inflation; and replaces the Part D coverage gap discount program with a new discounting program. The IRA permits the Secretary of the HHS to implement many of these provisions through guidance, as opposed to regulation, for the initial years.</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9720"/>
          </w:cols>
          <w:pgMar w:left="1080" w:top="1064" w:right="1080" w:bottom="0" w:gutter="0" w:footer="0" w:header="0"/>
          <w:type w:val="continuous"/>
        </w:sectPr>
      </w:pPr>
    </w:p>
    <w:bookmarkStart w:id="102" w:name="page103"/>
    <w:bookmarkEnd w:id="102"/>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When originally enacted, the IRA explicitly excluded from price negotiation orphan drugs designated for only one rare disease or condition and for which the only active approved indication is for such disease or condition. However, the One Big Beautiful Bill Act signed into law on July 4, 2025 amended the applicable statute to broaden the orphan drug exclusion to include products with more than one orphan designation and more than one approved indication.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206"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The first cycle of negotiations for the Medicare Drug Price Negotiation Program commenced in the summer of 2023. On August 15, 2024, the HHS published the results of the first Medicare drug price negotiations for 10 selected drugs that treat a range of conditions, including diabetes, chronic kidney disease, and rheumatoid arthritis. The prices of these ten drugs will become effective January 1, 2026. On January 17, 2025, CMS announced its selection of 15 additional drugs covered by Part D for the second cycle of negotiations and on November 25, 2025, CMS released negotiated prices for such products that will go into effect beginning January 1, 2027.</w:t>
      </w:r>
    </w:p>
    <w:p>
      <w:pPr>
        <w:spacing w:after="0" w:line="19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B and D whose price increases exceed inflation. The law also capped Medicare beneficiary out-of-pocket drug costs at $4,000 per year in 2024 and, $2,000 a year from 2025 onwards. While it remains to be seen how the drug pricing provisions imposed by the IRA will affect the broader pharmaceutical industry, several pharmaceutical manufacturers and other industry stakeholders have challenged the law, including through lawsuits brought against the HHS, the Secretary of the HHS, CMS, and the CMS Administrator challenging the constitutionality and administrative implementation of the IRA’s drug price negotiation provisions. This litigation is ongoing and the results, and potential impacts on our business, are uncertain. The current presidential administration has indicated that reducing prescription drug prices will be a focus, with CMS issuing a public statement on January 29, 2025, declaring that lowering the cost of prescription drugs is a top priority of the new administration and CMS is committed to considering opportunities to bring greater pricing transparency. Moreover, President Trump has signed multiple executive orders addressing prescription drug pricing and access, including: on April 15, 2025, outlining several actions the Secretary of the Department of HHS must take to optimize healthcare regulations that will provide access to prescription drugs at lower costs; on May 5, 2025, aiming to promote domestic production of critical medicines; and on May 12, 2025, aiming to establish a “most favored nation” drug pricing policy that would tie U.S. drug prices to the prices paid for drugs in other countries. Since the May 12, 2025 “most favored nation” executive order, the Trump administration has continued to exert pressure on drug manufacturers to implement “most favored nation” pricing, including by suggesting that the administration may impose significant tariffs on pharmaceuticals if such manufacturers do not reach agreements to implement “most favored nation” pricing. Additionally, in November 2025, CMS announced a new voluntary payment initiative called the GENEROUS Model (GENErating cost Reductions for U.S. Medicaid Model) where drug manufacturers may voluntarily offer supplemental rebates to participating state Medicaid programs that are intended to provide such Medicaid programs with a “most favored nation” price for participating manufacturers’ products.</w:t>
      </w:r>
    </w:p>
    <w:p>
      <w:pPr>
        <w:spacing w:after="0" w:line="217"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auto"/>
        </w:rPr>
        <w:t>On December 23, 2025, CMS, through its Center for Medicare and Medicaid Innovation, or CMMI, proposed two five-year pilot programs to implement a “reference pricing” model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rules, a manufacturer would owe rebates to Medicare if prices for their drugs exceeded the prices paid by other economically comparable reference countries, with an initial list of 19 reference countries included in the proposed rule. Comments are due on the proposed pilot program rules on or before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23, 2026, and the pilot programs are proposed to go into effect beginning October 1, 2026.</w:t>
      </w:r>
    </w:p>
    <w:p>
      <w:pPr>
        <w:spacing w:after="0" w:line="240" w:lineRule="exact"/>
        <w:rPr>
          <w:sz w:val="20"/>
          <w:szCs w:val="20"/>
          <w:color w:val="auto"/>
        </w:rPr>
      </w:pPr>
    </w:p>
    <w:p>
      <w:pPr>
        <w:jc w:val="both"/>
        <w:ind w:right="60" w:firstLine="489"/>
        <w:spacing w:after="0" w:line="279"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9700"/>
          </w:cols>
          <w:pgMar w:left="1080" w:top="1064" w:right="1100" w:bottom="0" w:gutter="0" w:footer="0" w:header="0"/>
          <w:type w:val="continuous"/>
        </w:sectPr>
      </w:pPr>
    </w:p>
    <w:bookmarkStart w:id="103" w:name="page104"/>
    <w:bookmarkEnd w:id="103"/>
    <w:p>
      <w:pPr>
        <w:ind w:right="20"/>
        <w:spacing w:after="0" w:line="244" w:lineRule="auto"/>
        <w:rPr>
          <w:sz w:val="20"/>
          <w:szCs w:val="20"/>
          <w:color w:val="auto"/>
        </w:rPr>
      </w:pPr>
      <w:r>
        <w:rPr>
          <w:rFonts w:ascii="Times New Roman" w:cs="Times New Roman" w:eastAsia="Times New Roman" w:hAnsi="Times New Roman"/>
          <w:sz w:val="20"/>
          <w:szCs w:val="20"/>
          <w:color w:val="auto"/>
        </w:rPr>
        <w:t>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9"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auto"/>
        </w:rPr>
        <w:t>In countries outside of the United States,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to other available therapies. If reimbursement of our products is unavailable or limited in scope or amount or if pricing is set at unsatisfactory levels, our business could be materially harmed.</w:t>
      </w:r>
    </w:p>
    <w:p>
      <w:pPr>
        <w:spacing w:after="0" w:line="20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Reporting and payment obligations under the Medicaid Drug Rebate Program and other governmental drug pricing programs are complex and may involve subjective decisions. Any failure to comply with those obligations or disagreement by regulators with the assumptions or methodologies we have used could subject us to penalties and sanctions.</w:t>
      </w:r>
    </w:p>
    <w:p>
      <w:pPr>
        <w:spacing w:after="0" w:line="192"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authorities, as well as the courts. Reasonable assumptions have been made where there is lack of regulations or clear guidance and such assumptions involve subjective decisions and estimates. Pharmaceutical companies are required to report any revisions to calculations, price reporting and payment obligations previously reported or paid. Such revisions could affect liability to federal and state payers and also adversely impact reported financial results of operations in the period of such restatement.</w:t>
      </w:r>
    </w:p>
    <w:p>
      <w:pPr>
        <w:spacing w:after="0" w:line="203"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For example, CMS recently imposed new requirements for manufacturers that treat fees paid to channel partners as bona fide service fees, or BFSFs, that are excluded from the calculation of average sales price, or ASP. These new requirements include the submission of reasonable assumptions that must include, among other things, a description of the fair market value, or FMV, used to determine if a fee is paid at FMV. Manufacturers will also be required to obtain a certification from channel partners that any fee is not passed on to customers to be treated as a BFSF for all new contracts beginning January 1, 2026.</w:t>
      </w:r>
    </w:p>
    <w:p>
      <w:pPr>
        <w:spacing w:after="0" w:line="19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a company becomes subject to investigations, restatements, or other inquiries concerning compliance with price reporting laws and regulations, it could be required to pay or be subject to additional reimbursements, penalties, sanctions or fines, which could have a material adverse effect on the business, financial condition and results of operations. In addition, it is possible that future healthcare reform measures could be adopted, which could result in increased pressure on pricing and reimbursement of products and thus have an adverse impact on financial position or business operations.</w:t>
      </w:r>
    </w:p>
    <w:p>
      <w:pPr>
        <w:spacing w:after="0" w:line="202"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the company’s financial position and results of operations could be adversely affected.</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9720"/>
          </w:cols>
          <w:pgMar w:left="1080" w:top="1064" w:right="1080" w:bottom="0" w:gutter="0" w:footer="0" w:header="0"/>
          <w:type w:val="continuous"/>
        </w:sectPr>
      </w:pPr>
    </w:p>
    <w:bookmarkStart w:id="104" w:name="page105"/>
    <w:bookmarkEnd w:id="104"/>
    <w:p>
      <w:pPr>
        <w:ind w:right="60" w:firstLine="490"/>
        <w:spacing w:after="0" w:line="248" w:lineRule="auto"/>
        <w:rPr>
          <w:sz w:val="20"/>
          <w:szCs w:val="20"/>
          <w:color w:val="auto"/>
        </w:rPr>
      </w:pPr>
      <w:r>
        <w:rPr>
          <w:rFonts w:ascii="Times New Roman" w:cs="Times New Roman" w:eastAsia="Times New Roman" w:hAnsi="Times New Roman"/>
          <w:sz w:val="20"/>
          <w:szCs w:val="20"/>
          <w:color w:val="auto"/>
        </w:rPr>
        <w:t>In addition to retroactive rebates and the potential for 340B Program refunds, if a pharmaceutical firm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Medicaid or Medicare Part B, for covered outpatient drugs.</w:t>
      </w:r>
    </w:p>
    <w:p>
      <w:pPr>
        <w:spacing w:after="0" w:line="19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Additionally, if a pharmaceutical company overcharges the government in connection with the Federal Supply Schedules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1" w:lineRule="exact"/>
        <w:rPr>
          <w:sz w:val="20"/>
          <w:szCs w:val="20"/>
          <w:color w:val="auto"/>
        </w:rPr>
      </w:pPr>
    </w:p>
    <w:p>
      <w:pPr>
        <w:ind w:right="80" w:firstLine="489"/>
        <w:spacing w:after="0" w:line="253" w:lineRule="auto"/>
        <w:rPr>
          <w:sz w:val="20"/>
          <w:szCs w:val="20"/>
          <w:color w:val="auto"/>
        </w:rPr>
      </w:pPr>
      <w:r>
        <w:rPr>
          <w:rFonts w:ascii="Times New Roman" w:cs="Times New Roman" w:eastAsia="Times New Roman" w:hAnsi="Times New Roman"/>
          <w:sz w:val="20"/>
          <w:szCs w:val="20"/>
          <w:color w:val="auto"/>
        </w:rPr>
        <w:t>Our collaborators are also subject to similar requirements outside of the United States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9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 in foreign jurisdictions would prevent our products or product candidates from being marketed abroad.</w:t>
      </w:r>
    </w:p>
    <w:p>
      <w:pPr>
        <w:spacing w:after="0" w:line="165"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order to market and sell our products and product candidates in the European Union and many other jurisdictions, including certain jurisdictions covered by our AffaMed collaboration,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Regulatory or pricing approval in foreign jurisdictions may require the provision of additional or long-term clinical data demonstrating different outcomes or efficacy measures than may be required for regulatory approval in the United States. We or our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approval process in other countries. We may not be able to file for marketing approvals and may not receive necessary approvals to commercialize our products in any market.</w:t>
      </w:r>
    </w:p>
    <w:p>
      <w:pPr>
        <w:spacing w:after="0" w:line="200" w:lineRule="exact"/>
        <w:rPr>
          <w:sz w:val="20"/>
          <w:szCs w:val="20"/>
          <w:color w:val="auto"/>
        </w:rPr>
      </w:pPr>
    </w:p>
    <w:p>
      <w:pPr>
        <w:spacing w:after="0" w:line="24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MHRA, is responsible for approving all medicinal products destined for the United Kingdom market (i.e., Great Britain and Northern Ireland). On April 28, 2025, 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European Union prior to the date on which the EU CTR took effect, the UK legal framework did not benefit from the same revisions as occurred at EU level.</w:t>
      </w:r>
    </w:p>
    <w:p>
      <w:pPr>
        <w:spacing w:after="0" w:line="203"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At the same time, a new international recognition procedure, or IRP, will apply, which intends to facilitate approval of pharmaceutical products in the United Kingdom. The IRP is open to applicants that have already received an authorization for the same product from one of the MHRA’s specified Reference Regulators, or RRs. The RRs notably include EMA and regulators in the member states of the European Union and the European Economic Area, or EEA, for approvals in the EU centralized procedure and mutual recognition procedure as well as the FDA (for product approvals granted in the United States). However, the concrete functioning of the IRP is currently unclear. Any delay in obtaining,</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9700"/>
          </w:cols>
          <w:pgMar w:left="1080" w:top="1064" w:right="1100" w:bottom="0" w:gutter="0" w:footer="0" w:header="0"/>
          <w:type w:val="continuous"/>
        </w:sectPr>
      </w:pPr>
    </w:p>
    <w:bookmarkStart w:id="105" w:name="page106"/>
    <w:bookmarkEnd w:id="105"/>
    <w:p>
      <w:pPr>
        <w:jc w:val="both"/>
        <w:ind w:right="280"/>
        <w:spacing w:after="0" w:line="260" w:lineRule="auto"/>
        <w:rPr>
          <w:sz w:val="20"/>
          <w:szCs w:val="20"/>
          <w:color w:val="auto"/>
        </w:rPr>
      </w:pPr>
      <w:r>
        <w:rPr>
          <w:rFonts w:ascii="Times New Roman" w:cs="Times New Roman" w:eastAsia="Times New Roman" w:hAnsi="Times New Roman"/>
          <w:sz w:val="20"/>
          <w:szCs w:val="20"/>
          <w:color w:val="auto"/>
        </w:rPr>
        <w:t>or an inability to obtain, any marketing approvals may force us or our collaborators to restrict or delay efforts to seek regulatory approval in the United Kingdom for our product candidates, which could significantly and materially harm our business.</w:t>
      </w:r>
    </w:p>
    <w:p>
      <w:pPr>
        <w:spacing w:after="0" w:line="183" w:lineRule="exact"/>
        <w:rPr>
          <w:sz w:val="20"/>
          <w:szCs w:val="20"/>
          <w:color w:val="auto"/>
        </w:rPr>
      </w:pPr>
    </w:p>
    <w:p>
      <w:pPr>
        <w:jc w:val="both"/>
        <w:ind w:right="60" w:firstLine="489"/>
        <w:spacing w:after="0" w:line="252" w:lineRule="auto"/>
        <w:rPr>
          <w:sz w:val="20"/>
          <w:szCs w:val="20"/>
          <w:color w:val="auto"/>
        </w:rPr>
      </w:pPr>
      <w:r>
        <w:rPr>
          <w:rFonts w:ascii="Times New Roman" w:cs="Times New Roman" w:eastAsia="Times New Roman" w:hAnsi="Times New Roman"/>
          <w:sz w:val="19"/>
          <w:szCs w:val="19"/>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w:t>
      </w:r>
    </w:p>
    <w:p>
      <w:pPr>
        <w:spacing w:after="0" w:line="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April 26, 2023. On June 4, 2025, after almost two years of negotiations among the EU Member States, the Council of the European Union adopted its position on the proposed overhaul of the EU general pharmaceutical legislative framework, which is known as the new Pharma Package. On December 11, 2025, the European Parliament and Council reached a provisional political agreement on the legislation which is expected to be adopted by mid-2026. Key changes include updating regulatory data exclusivity to a new system with 8 years data exclusivity and reduced market exclusivity period to 1 year which can be extended if specific conditions are fulfilled, adding launch/supply obligations,</w:t>
      </w:r>
    </w:p>
    <w:p>
      <w:pPr>
        <w:ind w:right="200"/>
        <w:spacing w:after="0" w:line="259" w:lineRule="auto"/>
        <w:rPr>
          <w:sz w:val="20"/>
          <w:szCs w:val="20"/>
          <w:color w:val="auto"/>
        </w:rPr>
      </w:pPr>
      <w:r>
        <w:rPr>
          <w:rFonts w:ascii="Times New Roman" w:cs="Times New Roman" w:eastAsia="Times New Roman" w:hAnsi="Times New Roman"/>
          <w:sz w:val="20"/>
          <w:szCs w:val="20"/>
          <w:color w:val="auto"/>
        </w:rPr>
        <w:t>incentivizing antibiotic innovation with transferable vouchers, and streamlining approval procedures in the European Union. If the legislation is finalized in line with the provisional political agreement, it will have a significant impact on the pharmaceutical industry.</w:t>
      </w:r>
    </w:p>
    <w:p>
      <w:pPr>
        <w:spacing w:after="0" w:line="18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Moreover, outside the United States, the prevalence of regimes making use of “reference pricing”, where a specific country or payor pegs pricing or reimbursement to pricing levels in another country, may necessitate a sequential or staggered approach or ordering to commercial launch in order to obtain optimal pricing and reimbursement coverage, which may delay launch in countries where a product is otherwise approved or approvable. Similarly, the risk of “most-favored-nation” or other “reference pricing” regimes in the United States, including through the GLOBE and GUARD programs, may result in the delay of launches in foreign jurisdictions or could otherwise affect whether products are marketed in foreign jurisdictions or whether pricing may be changed in such jurisdictions.</w:t>
      </w:r>
    </w:p>
    <w:p>
      <w:pPr>
        <w:spacing w:after="0" w:line="199"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We expect that we will also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02"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9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w:t>
      </w:r>
    </w:p>
    <w:p>
      <w:pPr>
        <w:spacing w:after="0" w:line="204"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9720"/>
          </w:cols>
          <w:pgMar w:left="1080" w:top="1064" w:right="1080" w:bottom="0" w:gutter="0" w:footer="0" w:header="0"/>
          <w:type w:val="continuous"/>
        </w:sectPr>
      </w:pPr>
    </w:p>
    <w:bookmarkStart w:id="106" w:name="page107"/>
    <w:bookmarkEnd w:id="106"/>
    <w:p>
      <w:pPr>
        <w:ind w:right="60"/>
        <w:spacing w:after="0" w:line="245" w:lineRule="auto"/>
        <w:rPr>
          <w:sz w:val="20"/>
          <w:szCs w:val="20"/>
          <w:color w:val="auto"/>
        </w:rPr>
      </w:pPr>
      <w:r>
        <w:rPr>
          <w:rFonts w:ascii="Times New Roman" w:cs="Times New Roman" w:eastAsia="Times New Roman" w:hAnsi="Times New Roman"/>
          <w:sz w:val="20"/>
          <w:szCs w:val="20"/>
          <w:color w:val="auto"/>
        </w:rPr>
        <w:t>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 Similar laws and regulations have been approved, or are expected to be approved, in several jurisdictions beyond the European Union.</w:t>
      </w:r>
    </w:p>
    <w:p>
      <w:pPr>
        <w:spacing w:after="0" w:line="203"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There are ongoing concerns about the ability of companies to transfer personal data from the European Union to other countries. In July 2020, the Court of Justice of the European Union, or the CJEU, invalidated the EU-U.S. Privacy Shield framework, or Privacy Shield, one of the mechanisms used to legitimize the transfer of personal data from the EEA to the U.S. While we were not self-certified under the Privacy Shield, this CJEU decision has led to increased scrutiny on data transfers from the European Union to the United States generally and increase our costs of compliance with data privacy legislation as well as our costs of negotiating appropriate privacy and security agreements with our vendors and business partners.</w:t>
      </w:r>
    </w:p>
    <w:p>
      <w:pPr>
        <w:spacing w:after="0" w:line="19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Following the CJEU decision, in October 2022, President Biden signed an executive order to implement the EU-U.S. Data Privacy Framework, which would serve as a replacement to the EU-U.S. Privacy Shield. The European Commission initiated the process to adopt an adequacy decision for the EU-U.S. Data Privacy Framework , or DPF in December 2022, and has now adopted an adequacy decision to permit data transfers from the European Union to the United States going forward. This development permits data transfers at this point under this framework and more broadly has made international data transfers more straightforward, but these provisions are being challenged in court. The recent election in the United States and the new administration may also impact whether the DPF remains an adequate data transfer framework. The continuing uncertainty around this issue may further impact our business operations in the European Union.</w:t>
      </w:r>
    </w:p>
    <w:p>
      <w:pPr>
        <w:spacing w:after="0" w:line="19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On June 23, 2016, the electorate in the United Kingdom. voted in favor of leaving the European Union, commonly referred to as Brexit. As with other issues related to Brexit, there are open questions about how personal data will be protected in the United Kingdom and whether personal information can transfer from the European Union to the U.K. Following the withdrawal of the U.K. from the European Union, the U.K. Data Protection Act 2018 applies to the processing of personal data that takes place in the United Kingdom and includes parallel obligations to those set forth by GDPR. While the Data Protection Act of 2018 in the United Kingdom that “implements” and complements the GDPR has achieved Royal Assent on May 23, 2018 and is now effective in the United Kingdom, it is unclear whether transfer of data from the EEA to the United Kingdom will remain lawful under the GDPR. The U.K. government has already determined that it considers all 27 EU Member States and EEA member states to be adequate for the purposes of data protection, ensuring that data flows from the United Kingdom to the EU/EEA remain unaffected. In addition, a recent decision from the European Commission appears to deem the United Kingdom as being “essentially adequate” for purposes of data transfer from the European Union to the United Kingdom, although this decision may be re-evaluated in the future. The United Kingdom and the United States also have agreed on a framework for personal data to be transferred between the United Kingdom and the United States, called the U.K.- U.S. Data Bridge. The U.K.-U.S. Data Bridge may be challenged in the future. Continuing uncertainty about these data transfers, including the possibility of future changes, may impact our business operations.</w:t>
      </w:r>
    </w:p>
    <w:p>
      <w:pPr>
        <w:spacing w:after="0" w:line="211"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There are multiple privacy and data security laws that may impact our business activities in the United States. These laws are evolving and may increase both our obligations and our regulatory risks in the future. In the health care industry generally, under the federal Health Insurance Portability and Accountability Act of 1996, or HIPAA, HHS has issued regulations to protect the privacy and security of protected health information, or PHI, used or disclosed by covered entities including certain healthcare providers, health plans and healthcare clearinghouses.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Any clinical trials we conduct will be regulated by Subpart A of 45 CFR 46,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9720"/>
          </w:cols>
          <w:pgMar w:left="1080" w:top="1064" w:right="1080" w:bottom="0" w:gutter="0" w:footer="0" w:header="0"/>
          <w:type w:val="continuous"/>
        </w:sectPr>
      </w:pPr>
    </w:p>
    <w:bookmarkStart w:id="107" w:name="page108"/>
    <w:bookmarkEnd w:id="107"/>
    <w:p>
      <w:pPr>
        <w:ind w:right="140"/>
        <w:spacing w:after="0" w:line="253" w:lineRule="auto"/>
        <w:rPr>
          <w:sz w:val="20"/>
          <w:szCs w:val="20"/>
          <w:color w:val="auto"/>
        </w:rPr>
      </w:pPr>
      <w:r>
        <w:rPr>
          <w:rFonts w:ascii="Times New Roman" w:cs="Times New Roman" w:eastAsia="Times New Roman" w:hAnsi="Times New Roman"/>
          <w:sz w:val="20"/>
          <w:szCs w:val="20"/>
          <w:color w:val="auto"/>
        </w:rPr>
        <w:t>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191" w:lineRule="exact"/>
        <w:rPr>
          <w:sz w:val="20"/>
          <w:szCs w:val="20"/>
          <w:color w:val="auto"/>
        </w:rPr>
      </w:pPr>
    </w:p>
    <w:p>
      <w:pPr>
        <w:ind w:firstLine="489"/>
        <w:spacing w:after="0" w:line="244" w:lineRule="auto"/>
        <w:rPr>
          <w:sz w:val="20"/>
          <w:szCs w:val="20"/>
          <w:color w:val="auto"/>
        </w:rPr>
      </w:pPr>
      <w:r>
        <w:rPr>
          <w:rFonts w:ascii="Times New Roman" w:cs="Times New Roman" w:eastAsia="Times New Roman" w:hAnsi="Times New Roman"/>
          <w:sz w:val="20"/>
          <w:szCs w:val="20"/>
          <w:color w:val="auto"/>
        </w:rPr>
        <w:t>In addition to potential enforcement by the HHS, we could also be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w:t>
      </w:r>
    </w:p>
    <w:p>
      <w:pPr>
        <w:spacing w:after="0" w:line="203" w:lineRule="exact"/>
        <w:rPr>
          <w:sz w:val="20"/>
          <w:szCs w:val="20"/>
          <w:color w:val="auto"/>
        </w:rPr>
      </w:pPr>
    </w:p>
    <w:p>
      <w:pPr>
        <w:ind w:right="60" w:firstLine="489"/>
        <w:spacing w:after="0" w:line="239" w:lineRule="auto"/>
        <w:rPr>
          <w:sz w:val="20"/>
          <w:szCs w:val="20"/>
          <w:color w:val="auto"/>
        </w:rPr>
      </w:pPr>
      <w:r>
        <w:rPr>
          <w:rFonts w:ascii="Times New Roman" w:cs="Times New Roman" w:eastAsia="Times New Roman" w:hAnsi="Times New Roman"/>
          <w:sz w:val="20"/>
          <w:szCs w:val="20"/>
          <w:color w:val="auto"/>
        </w:rPr>
        <w:t>There are also increased restrictions at the federal level relating to transferring sensitive data (including certain kinds of clinical data) outside of the United States to certain foreign countries. The DOJ recently finalized a rule implementing Executive Order 14117, which creates restrictions related to the transfer of sensitive United States data to countries such as China. The “Preventing Access to Americans’ Bulk Sensitive Personal Data and United States Government-Related Data by Countries of Concern” regulations establish a new regulatory regime that may have a significant impact in connection with the transfer of sensitive United States personal data to “countries of concern” (i.e., China (including Hong Kong and Macau), Cuba, Iran, North Korea, Russia, and Venezuela). This rule prohibits</w:t>
      </w:r>
    </w:p>
    <w:p>
      <w:pPr>
        <w:spacing w:after="0" w:line="6" w:lineRule="exact"/>
        <w:rPr>
          <w:sz w:val="20"/>
          <w:szCs w:val="20"/>
          <w:color w:val="auto"/>
        </w:rPr>
      </w:pPr>
    </w:p>
    <w:p>
      <w:pPr>
        <w:ind w:right="100" w:firstLine="8"/>
        <w:spacing w:after="0" w:line="248" w:lineRule="auto"/>
        <w:tabs>
          <w:tab w:leader="none" w:pos="28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data brokers from licensing or otherwise transferring a wide variety of sensitive United States persons data to China (among other locations) and (2) all United States persons from knowingly engaging in any “covered data transaction” with “countries of concern” or “covered persons” involving access to bulk human genomic, epigenomic, proteomic, or transcriptomic data, or with human biospecimens from which such data can be derived. The rule defines six categories of “sensitive personal data”: covered personal identifiers, precise geolocation data, biometric identifiers, human genomic data, personal health data, and personal financial data.</w:t>
      </w:r>
    </w:p>
    <w:p>
      <w:pPr>
        <w:spacing w:after="0" w:line="19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In addition, the Protecting Americans’ Data from Foreign Adversaries Act, or PADFA, which came into effect in 2025, prohibits data brokers from selling, licensing, transferring, disclosing, trading, or providing access to “personally identifiable sensitive data” of Americans to foreign adversaries, namely China, Russia, Iran, and North Korea, or entities controlled by a foreign adversary. Although the DOJ’s rule and the PADFA share a common purpose, the PADFA focuses more on categories of data rather than transactions. PADFA includes 16 categories of “sensitive data,” including biometric information, precise geolocation information, and genetic information. Collectively, the DOJ’s rule and PADFA, as well as other similar provisions that may be passed in the future, may create both operational challenges and legal risks for our business.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New laws also are being considered at the state level. For example, the California Consumer Privacy Act, or</w:t>
      </w:r>
    </w:p>
    <w:p>
      <w:pPr>
        <w:ind w:right="40"/>
        <w:spacing w:after="0" w:line="242" w:lineRule="auto"/>
        <w:rPr>
          <w:sz w:val="20"/>
          <w:szCs w:val="20"/>
          <w:color w:val="auto"/>
        </w:rPr>
      </w:pPr>
      <w:r>
        <w:rPr>
          <w:rFonts w:ascii="Times New Roman" w:cs="Times New Roman" w:eastAsia="Times New Roman" w:hAnsi="Times New Roman"/>
          <w:sz w:val="20"/>
          <w:szCs w:val="20"/>
          <w:color w:val="auto"/>
        </w:rPr>
        <w:t>CCPA—which went into effect on January 1, 2020—is creating similar risks and obligations as those created by GDPR, though the CCPA does currently exempt certain information collected as part of a clinical trial subject to the Federal Policy for the Protection of Human Subjects, known as the Common Rule. The CCPA also has been amended through a recent referendum in California that creates additional obligations beginning in 2023. In addition to California, at least eighteen other states have passed comprehensive privacy laws similar to the CCPA. These laws are either in effect or will go into effect over the next few years. Like the CCPA,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legislation that will go into effect in 2026 and beyond. Congress has also been debating passing a federal privacy law. There are also states that are specifically regulating health information that may affect our business. For example, Washington state passed a health privacy law in 2023 that regulates the collection and sharing of health information,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9680"/>
          </w:cols>
          <w:pgMar w:left="1080" w:top="1064" w:right="1120" w:bottom="0" w:gutter="0" w:footer="0" w:header="0"/>
          <w:type w:val="continuous"/>
        </w:sectPr>
      </w:pPr>
    </w:p>
    <w:bookmarkStart w:id="108" w:name="page109"/>
    <w:bookmarkEnd w:id="108"/>
    <w:p>
      <w:pPr>
        <w:ind w:firstLine="490"/>
        <w:spacing w:after="0" w:line="248" w:lineRule="auto"/>
        <w:rPr>
          <w:sz w:val="20"/>
          <w:szCs w:val="20"/>
          <w:color w:val="auto"/>
        </w:rPr>
      </w:pPr>
      <w:r>
        <w:rPr>
          <w:rFonts w:ascii="Times New Roman" w:cs="Times New Roman" w:eastAsia="Times New Roman" w:hAnsi="Times New Roman"/>
          <w:sz w:val="20"/>
          <w:szCs w:val="20"/>
          <w:color w:val="auto"/>
        </w:rPr>
        <w:t>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9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applicable jurisdictions. These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9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internal information technology systems, or those of our vendors, collaborators, contractors, consultants, or other third parties may fail or suffer security breaches,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affecting our business and financial results.</w:t>
      </w:r>
    </w:p>
    <w:p>
      <w:pPr>
        <w:spacing w:after="0" w:line="195"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We are dependent upon information technology systems, infrastructure and data to operate our business. In the ordinary course of business, we collect, store and transmit large amounts of confidential information, including personal information and information relating to intellectual property, on internal and external information systems and through the information systems of our vendors, collaborators, contractors, consultants, or other third parties. It is critical that we, our vendors, collaborators, contractors, consultants, or other third parties, do so in a secure manner to maintain the availability, security, confidentiality, privacy and integrity of such confidential information.</w:t>
      </w:r>
    </w:p>
    <w:p>
      <w:pPr>
        <w:spacing w:after="0" w:line="19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Despite the implementation of security measures, our internal information technology systems and those of third parties are vulnerable to damage from computer viruses, malware, computer hackers, malicious code, employee error, theft or misuse, denial-of-service attacks, sophisticated nation-state supported actors, unauthorized access, natural disasters, terrorism, war and telecommunication and electrical failures. Such systems are also vulnerable to service interruptions or to security breaches from inadvertent or intentional actions by our employees, our collaborators, contractors, consultants, vendors, and other third parties, or from cyberattacks by malicious third parties over the Internet or through other mechanisms, including emerging cybersecurity threats related to artificial intelligence agents and other tools involving artificial intelligence. Cyberattacks are increasing in their frequency, sophistication and intensity, and have become increasingly difficult to detect. Cyberattacks could include the deployment of harmful malware, ransomware, denial of service attacks, unauthorized access to or deletion of files,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cannot guarantee that the measures we have taken to date, and actions we may take in the future, will be sufficient to prevent any future breaches.</w:t>
      </w:r>
    </w:p>
    <w:p>
      <w:pPr>
        <w:spacing w:after="0" w:line="207"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While we have not experienced a material system failure, accident, cyberattack or security breach to date, if such an event were to occur and cause interruptions in our operations, it could result in a material disruption of our development programs, clinical trials and business operations, whether due to a loss of our trade secrets or other proprietary or confidential information or other similar disruptions, in addition to possibly requiring substantial expenditures of resources to remedy. For example, the loss of clinical trial data from clinical trials could result in delays or termination of our regulatory approval efforts and significantly increase our costs to recover or reproduce the data. In addition, as risks with respect to our information systems continue to evolve, we will incur additional costs to maintain</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9720"/>
          </w:cols>
          <w:pgMar w:left="1080" w:top="1064" w:right="1080" w:bottom="0" w:gutter="0" w:footer="0" w:header="0"/>
          <w:type w:val="continuous"/>
        </w:sectPr>
      </w:pPr>
    </w:p>
    <w:bookmarkStart w:id="109" w:name="page110"/>
    <w:bookmarkEnd w:id="109"/>
    <w:p>
      <w:pPr>
        <w:ind w:right="180"/>
        <w:spacing w:after="0" w:line="280" w:lineRule="auto"/>
        <w:rPr>
          <w:sz w:val="20"/>
          <w:szCs w:val="20"/>
          <w:color w:val="auto"/>
        </w:rPr>
      </w:pPr>
      <w:r>
        <w:rPr>
          <w:rFonts w:ascii="Times New Roman" w:cs="Times New Roman" w:eastAsia="Times New Roman" w:hAnsi="Times New Roman"/>
          <w:sz w:val="20"/>
          <w:szCs w:val="20"/>
          <w:color w:val="auto"/>
        </w:rPr>
        <w:t>the security of our information systems and comply with evolving laws and regulations pertaining to cybersecurity and related areas.</w:t>
      </w:r>
    </w:p>
    <w:p>
      <w:pPr>
        <w:spacing w:after="0" w:line="16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enrollment in our clinical trials could be negatively affected, our competitive position and reputation could be harmed and the further development and commercialization of our product candidates could be delayed. As a result of such an event, we may be in breach of our contractual obligations. 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Any of the above could have a material adverse effect on our business, financial condition, results of operations or prospects.</w:t>
      </w:r>
    </w:p>
    <w:p>
      <w:pPr>
        <w:spacing w:after="0" w:line="206"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9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84" w:lineRule="exact"/>
        <w:rPr>
          <w:sz w:val="20"/>
          <w:szCs w:val="20"/>
          <w:color w:val="auto"/>
        </w:rPr>
      </w:pPr>
    </w:p>
    <w:p>
      <w:pPr>
        <w:ind w:firstLine="489"/>
        <w:spacing w:after="0" w:line="245" w:lineRule="auto"/>
        <w:rPr>
          <w:sz w:val="20"/>
          <w:szCs w:val="20"/>
          <w:color w:val="auto"/>
        </w:rPr>
      </w:pPr>
      <w:r>
        <w:rPr>
          <w:rFonts w:ascii="Times New Roman" w:cs="Times New Roman" w:eastAsia="Times New Roman" w:hAnsi="Times New Roman"/>
          <w:sz w:val="20"/>
          <w:szCs w:val="20"/>
          <w:color w:val="auto"/>
        </w:rPr>
        <w:t>If and 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7"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3"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0" w:lineRule="exact"/>
        <w:rPr>
          <w:sz w:val="20"/>
          <w:szCs w:val="20"/>
          <w:color w:val="auto"/>
        </w:rPr>
      </w:pPr>
    </w:p>
    <w:p>
      <w:pPr>
        <w:ind w:right="380" w:firstLine="489"/>
        <w:spacing w:after="0" w:line="253" w:lineRule="auto"/>
        <w:rPr>
          <w:sz w:val="20"/>
          <w:szCs w:val="20"/>
          <w:color w:val="auto"/>
        </w:rPr>
      </w:pPr>
      <w:r>
        <w:rPr>
          <w:rFonts w:ascii="Times New Roman" w:cs="Times New Roman" w:eastAsia="Times New Roman" w:hAnsi="Times New Roman"/>
          <w:sz w:val="20"/>
          <w:szCs w:val="20"/>
          <w:color w:val="auto"/>
        </w:rPr>
        <w:t>The failure to comply with laws governing international business practices may result in substantial civil and criminal penalties and suspension or debarment from government contracting. The Securities and Exchange Commission also may suspend or bar issuers from trading securities on U.S. exchanges for violations of the FCPA’s accounting provisions.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9700"/>
          </w:cols>
          <w:pgMar w:left="1080" w:top="1064" w:right="110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Growth</w:t>
      </w:r>
    </w:p>
    <w:p>
      <w:pPr>
        <w:spacing w:after="0" w:line="244"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to attract, retain and motivate qualified personnel.</w:t>
      </w:r>
    </w:p>
    <w:p>
      <w:pPr>
        <w:spacing w:after="0" w:line="165"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We remain highly dependent on the research and development, clinical and business development expertise of our principal members of our management, scientific and clinical team, including Pravin Dugel, M.D., our Executive Chairman, President and Chief Executive Officer. Although we have entered into employment agreements with our executive officers, each of them may terminate their employment with us at any time.</w:t>
      </w:r>
    </w:p>
    <w:p>
      <w:pPr>
        <w:spacing w:after="0" w:line="19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Recruiting and retaining qualified scientific, clinical,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5"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8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16" w:lineRule="exact"/>
        <w:rPr>
          <w:sz w:val="20"/>
          <w:szCs w:val="20"/>
          <w:color w:val="auto"/>
        </w:rPr>
      </w:pPr>
    </w:p>
    <w:p>
      <w:pPr>
        <w:ind w:left="860" w:hanging="364"/>
        <w:spacing w:after="0"/>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provide for a classified board of directors such that only one of three classes of directors is elected each year;</w:t>
      </w:r>
    </w:p>
    <w:p>
      <w:pPr>
        <w:spacing w:after="0" w:line="253" w:lineRule="exact"/>
        <w:rPr>
          <w:rFonts w:ascii="Arial" w:cs="Arial" w:eastAsia="Arial" w:hAnsi="Arial"/>
          <w:sz w:val="20"/>
          <w:szCs w:val="20"/>
          <w:color w:val="auto"/>
        </w:rPr>
      </w:pPr>
    </w:p>
    <w:p>
      <w:pPr>
        <w:ind w:left="860" w:hanging="364"/>
        <w:spacing w:after="0"/>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253" w:lineRule="exact"/>
        <w:rPr>
          <w:rFonts w:ascii="Arial" w:cs="Arial" w:eastAsia="Arial" w:hAnsi="Arial"/>
          <w:sz w:val="20"/>
          <w:szCs w:val="20"/>
          <w:color w:val="auto"/>
        </w:rPr>
      </w:pPr>
    </w:p>
    <w:p>
      <w:pPr>
        <w:ind w:left="860" w:hanging="364"/>
        <w:spacing w:after="0"/>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limit the manner in which stockholders can remove directors from our board of directors;</w:t>
      </w:r>
    </w:p>
    <w:p>
      <w:pPr>
        <w:spacing w:after="0" w:line="252" w:lineRule="exact"/>
        <w:rPr>
          <w:rFonts w:ascii="Arial" w:cs="Arial" w:eastAsia="Arial" w:hAnsi="Arial"/>
          <w:sz w:val="20"/>
          <w:szCs w:val="20"/>
          <w:color w:val="auto"/>
        </w:rPr>
      </w:pPr>
    </w:p>
    <w:p>
      <w:pPr>
        <w:ind w:left="860" w:right="680" w:hanging="364"/>
        <w:spacing w:after="0" w:line="279" w:lineRule="auto"/>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provide for advance notice requirements for stockholder proposals that can be acted on at stockholder meetings and nominations to our board of directors;</w:t>
      </w:r>
    </w:p>
    <w:p>
      <w:pPr>
        <w:spacing w:after="0" w:line="178" w:lineRule="exact"/>
        <w:rPr>
          <w:rFonts w:ascii="Arial" w:cs="Arial" w:eastAsia="Arial" w:hAnsi="Arial"/>
          <w:sz w:val="20"/>
          <w:szCs w:val="20"/>
          <w:color w:val="auto"/>
        </w:rPr>
      </w:pPr>
    </w:p>
    <w:p>
      <w:pPr>
        <w:ind w:left="860" w:right="80" w:hanging="364"/>
        <w:spacing w:after="0" w:line="279" w:lineRule="auto"/>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179" w:lineRule="exact"/>
        <w:rPr>
          <w:rFonts w:ascii="Arial" w:cs="Arial" w:eastAsia="Arial" w:hAnsi="Arial"/>
          <w:sz w:val="20"/>
          <w:szCs w:val="20"/>
          <w:color w:val="auto"/>
        </w:rPr>
      </w:pPr>
    </w:p>
    <w:p>
      <w:pPr>
        <w:ind w:left="860" w:hanging="364"/>
        <w:spacing w:after="0"/>
        <w:tabs>
          <w:tab w:leader="none" w:pos="86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limit who may call stockholder meetings;</w:t>
      </w:r>
    </w:p>
    <w:p>
      <w:pPr>
        <w:sectPr>
          <w:pgSz w:w="11880" w:h="15480" w:orient="portrait"/>
          <w:cols w:equalWidth="0" w:num="1">
            <w:col w:w="9660"/>
          </w:cols>
          <w:pgMar w:left="1080" w:top="106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9660"/>
          </w:cols>
          <w:pgMar w:left="1080" w:top="1062" w:right="1140" w:bottom="0" w:gutter="0" w:footer="0" w:header="0"/>
          <w:type w:val="continuous"/>
        </w:sectPr>
      </w:pPr>
    </w:p>
    <w:bookmarkStart w:id="111" w:name="page112"/>
    <w:bookmarkEnd w:id="111"/>
    <w:p>
      <w:pPr>
        <w:ind w:left="860" w:right="20" w:hanging="363"/>
        <w:spacing w:after="0" w:line="260" w:lineRule="auto"/>
        <w:tabs>
          <w:tab w:leader="none" w:pos="86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96" w:lineRule="exact"/>
        <w:rPr>
          <w:rFonts w:ascii="Arial" w:cs="Arial" w:eastAsia="Arial" w:hAnsi="Arial"/>
          <w:sz w:val="20"/>
          <w:szCs w:val="20"/>
          <w:color w:val="auto"/>
        </w:rPr>
      </w:pPr>
    </w:p>
    <w:p>
      <w:pPr>
        <w:ind w:left="860" w:right="200" w:hanging="363"/>
        <w:spacing w:after="0" w:line="279" w:lineRule="auto"/>
        <w:tabs>
          <w:tab w:leader="none" w:pos="86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the approval of the holders of at least 75% of the votes that all our stockholders would be entitled to cast to amend or repeal specified provisions of our certificate of incorporation or bylaws.</w:t>
      </w:r>
    </w:p>
    <w:p>
      <w:pPr>
        <w:spacing w:after="0" w:line="165"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been subject to legal proceedings related to the decline in our stock price, and we could be subject to similar legal proceedings in the future, which could distract our management and could result in substantial costs or large judgments against us.</w:t>
      </w:r>
    </w:p>
    <w:p>
      <w:pPr>
        <w:spacing w:after="0" w:line="184" w:lineRule="exact"/>
        <w:rPr>
          <w:sz w:val="20"/>
          <w:szCs w:val="20"/>
          <w:color w:val="auto"/>
        </w:rPr>
      </w:pPr>
    </w:p>
    <w:p>
      <w:pPr>
        <w:ind w:right="640" w:firstLine="489"/>
        <w:spacing w:after="0" w:line="280"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brought against companies following periods of volatility in the market prices of their securities.</w:t>
      </w:r>
    </w:p>
    <w:p>
      <w:pPr>
        <w:spacing w:after="0" w:line="16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In July 2017, we experienced a decline in our stock price following our announcement that we had received notice of the FDA’s determination that it could not approve our NDA for DEXTENZA in its then present form. In 2017 and 2018, class action lawsuits were filed against us and certain of our executive officers and shareholder derivative actions were filed against certain of our executive officers and directors, and two of our investors and against the company as a nominal defendant. While these legal proceedings were ultimately resolved in our and/or the applicable defendants’ favor, they were distracting and were both time-consuming and costly to defend. We may be the target of similar proceedings in the future. We also may face securities class-action litigation if we cannot obtain regulatory approvals for or if we otherwise fail to commercialize our products or product candidates successfully.</w:t>
      </w:r>
    </w:p>
    <w:p>
      <w:pPr>
        <w:spacing w:after="0" w:line="202" w:lineRule="exact"/>
        <w:rPr>
          <w:sz w:val="20"/>
          <w:szCs w:val="20"/>
          <w:color w:val="auto"/>
        </w:rPr>
      </w:pPr>
    </w:p>
    <w:p>
      <w:pPr>
        <w:jc w:val="both"/>
        <w:ind w:right="280" w:firstLine="490"/>
        <w:spacing w:after="0" w:line="253" w:lineRule="auto"/>
        <w:rPr>
          <w:sz w:val="20"/>
          <w:szCs w:val="20"/>
          <w:color w:val="auto"/>
        </w:rPr>
      </w:pPr>
      <w:r>
        <w:rPr>
          <w:rFonts w:ascii="Times New Roman" w:cs="Times New Roman" w:eastAsia="Times New Roman" w:hAnsi="Times New Roman"/>
          <w:sz w:val="20"/>
          <w:szCs w:val="20"/>
          <w:color w:val="auto"/>
        </w:rPr>
        <w:t>In connection with any such legal proceedings, we could incur substantial costs and such costs and any related settlements or judgments may not be covered by insurance. We could also suffer an adverse impact on our reputation and a diversion of management’s attention and resources, which could cause serious harm to our business, operating results and financial condition.</w:t>
      </w:r>
    </w:p>
    <w:p>
      <w:pPr>
        <w:spacing w:after="0" w:line="19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and fluctuate substantially, which could result in substantial losses for holders of our common stock.</w:t>
      </w:r>
    </w:p>
    <w:p>
      <w:pPr>
        <w:spacing w:after="0" w:line="165" w:lineRule="exact"/>
        <w:rPr>
          <w:sz w:val="20"/>
          <w:szCs w:val="20"/>
          <w:color w:val="auto"/>
        </w:rPr>
      </w:pPr>
    </w:p>
    <w:p>
      <w:pPr>
        <w:ind w:right="100" w:firstLine="490"/>
        <w:spacing w:after="0" w:line="250" w:lineRule="auto"/>
        <w:rPr>
          <w:sz w:val="20"/>
          <w:szCs w:val="20"/>
          <w:color w:val="auto"/>
        </w:rPr>
      </w:pPr>
      <w:r>
        <w:rPr>
          <w:rFonts w:ascii="Times New Roman" w:cs="Times New Roman" w:eastAsia="Times New Roman" w:hAnsi="Times New Roman"/>
          <w:sz w:val="20"/>
          <w:szCs w:val="20"/>
          <w:color w:val="auto"/>
        </w:rPr>
        <w:t>Our stock price has been, and in the future may be, volatile. The stock market in general and the market for smaller biopharmaceutical companies in particular have experienced extreme volatility that has often been unrelated to the operating performance. As a result of this volatility, our stockholders may not be able to sell their common stock at or above the price at which they purchased it. The market price for our common stock may be influenced by many factors, including:</w:t>
      </w:r>
    </w:p>
    <w:p>
      <w:pPr>
        <w:spacing w:after="0" w:line="206" w:lineRule="exact"/>
        <w:rPr>
          <w:sz w:val="20"/>
          <w:szCs w:val="20"/>
          <w:color w:val="auto"/>
        </w:rPr>
      </w:pPr>
    </w:p>
    <w:p>
      <w:pPr>
        <w:ind w:left="860" w:right="340" w:hanging="363"/>
        <w:spacing w:after="0" w:line="279" w:lineRule="auto"/>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trials of our product candidates, including AXPAXLI, and the product candidates of our competitors;</w:t>
      </w:r>
    </w:p>
    <w:p>
      <w:pPr>
        <w:spacing w:after="0" w:line="179" w:lineRule="exact"/>
        <w:rPr>
          <w:rFonts w:ascii="Arial" w:cs="Arial" w:eastAsia="Arial" w:hAnsi="Arial"/>
          <w:sz w:val="20"/>
          <w:szCs w:val="20"/>
          <w:color w:val="auto"/>
        </w:rPr>
      </w:pPr>
    </w:p>
    <w:p>
      <w:pPr>
        <w:ind w:left="860" w:right="20" w:hanging="363"/>
        <w:spacing w:after="0" w:line="279" w:lineRule="auto"/>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success in commercializing DEXTENZA and any product candidates for which we may obtain marketing approval, including AXPAXLI;</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competitive products or technologies;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recruitment or departure of key scientific or management personnel;</w:t>
      </w:r>
    </w:p>
    <w:p>
      <w:pPr>
        <w:sectPr>
          <w:pgSz w:w="11880" w:h="15480" w:orient="portrait"/>
          <w:cols w:equalWidth="0" w:num="1">
            <w:col w:w="9660"/>
          </w:cols>
          <w:pgMar w:left="1080" w:top="1079"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9660"/>
          </w:cols>
          <w:pgMar w:left="1080" w:top="1079" w:right="1140" w:bottom="0" w:gutter="0" w:footer="0" w:header="0"/>
          <w:type w:val="continuous"/>
        </w:sectPr>
      </w:pPr>
    </w:p>
    <w:bookmarkStart w:id="112" w:name="page113"/>
    <w:bookmarkEnd w:id="112"/>
    <w:p>
      <w:pPr>
        <w:ind w:left="860" w:right="40" w:hanging="363"/>
        <w:spacing w:after="0" w:line="249" w:lineRule="auto"/>
        <w:tabs>
          <w:tab w:leader="none" w:pos="86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efforts and the efforts of our current and future collaborators to discover, develop, acquire or in-license and out-license additional products, product candidates or technologies for the treatment of ophthalmic diseases or conditions, the costs of commercializing any such products and the costs of development of any such product candidates or technologies and any potential dilution to our shareholders as a result of these efforts;</w:t>
      </w:r>
    </w:p>
    <w:p>
      <w:pPr>
        <w:spacing w:after="0" w:line="211" w:lineRule="exact"/>
        <w:rPr>
          <w:rFonts w:ascii="Arial" w:cs="Arial" w:eastAsia="Arial" w:hAnsi="Arial"/>
          <w:sz w:val="20"/>
          <w:szCs w:val="20"/>
          <w:color w:val="auto"/>
        </w:rPr>
      </w:pPr>
    </w:p>
    <w:p>
      <w:pPr>
        <w:ind w:left="860" w:right="180" w:hanging="363"/>
        <w:spacing w:after="0" w:line="279" w:lineRule="auto"/>
        <w:tabs>
          <w:tab w:leader="none" w:pos="86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secure third-party reimbursement for our products or product candidates;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in the pharmaceutical and biotechnology sectors; and</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factors described in this “Risk Factors” section.</w:t>
      </w:r>
    </w:p>
    <w:p>
      <w:pPr>
        <w:spacing w:after="0" w:line="240"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capital stock in the foreseeable future, capital appreciation, if any, will be our stockholders’ sole source of gain.</w:t>
      </w:r>
    </w:p>
    <w:p>
      <w:pPr>
        <w:spacing w:after="0" w:line="166"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currently intend to retain all of our future earnings, if any, to finance the growth and development of our business. In addition, the terms of our Barings Credit Agreement and any future debt agreements that we may enter into, may preclude us from paying dividends without the lenders’ consent or at all. As a result, capital appreciation, if any, of our common stock will be our stockholders’ sole source of gain for the foreseeable future.</w:t>
      </w:r>
    </w:p>
    <w:p>
      <w:pPr>
        <w:spacing w:after="0" w:line="18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4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certain processes for identifying, assessing and managing cybersecurity risks, which are built into our overall risk management program and are designed to help protect our people, technology, products, information and operations from internal and external cyber threats and to protect the information of employees, customers, vendors, and other individuals, such as subjects enrolled in our clinical trials, from unauthorized access or attack, as well as secure our networks and systems. Our cybersecurity program is built upon, and we periodically assess our processes against, the National Institute of Standards and Technology, or NIST, Cybersecurity Framework (CSF) 2.0, or the NIST Framework. This does not imply that we meet any particular technical standards, specifications, or requirements of the NIST Framework, but rather only that we use these standards as a guide to help us mature our security posture in order to identify, assess, and manage cybersecurity risks relevant to our business. Our processes for identifying, assessing and managing cybersecurity risks include physical, procedural and technical safeguards, a cybersecurity incident response plan, regular tests on our systems, incident simulations and routine review of our policies and procedures to identify risks and improve our practices. We engage certain external parties, including information technology security firms, to assist us with the identification, verification, and validation of cybersecurity risks, and to support mitigation efforts if necessary. We consider the internal risk oversight programs of third-party service providers before engaging them in order to help protect us from any related vulnerabilities.</w:t>
      </w:r>
    </w:p>
    <w:p>
      <w:pPr>
        <w:spacing w:after="0" w:line="211" w:lineRule="exact"/>
        <w:rPr>
          <w:sz w:val="20"/>
          <w:szCs w:val="20"/>
          <w:color w:val="auto"/>
        </w:rPr>
      </w:pPr>
    </w:p>
    <w:p>
      <w:pPr>
        <w:ind w:right="100" w:firstLine="490"/>
        <w:spacing w:after="0" w:line="280" w:lineRule="auto"/>
        <w:rPr>
          <w:sz w:val="20"/>
          <w:szCs w:val="20"/>
          <w:color w:val="auto"/>
        </w:rPr>
      </w:pPr>
      <w:r>
        <w:rPr>
          <w:rFonts w:ascii="Times New Roman" w:cs="Times New Roman" w:eastAsia="Times New Roman" w:hAnsi="Times New Roman"/>
          <w:sz w:val="20"/>
          <w:szCs w:val="20"/>
          <w:color w:val="auto"/>
        </w:rPr>
        <w:t>We do not believe that there are currently any known risks from cybersecurity threats that are reasonably likely to materially affect us or our business strategy, results of operations or financial condition.</w:t>
      </w:r>
    </w:p>
    <w:p>
      <w:pPr>
        <w:spacing w:after="0" w:line="164"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Audit Committee of our board of directors provides direct oversight over cybersecurity risk and provides updates to the board of directors regarding such oversight as deemed necessary. The Audit Committee receives periodic updates from management regarding cybersecurity matters and is notified between such updates regarding significant new cybersecurity threats or incidents.</w:t>
      </w:r>
    </w:p>
    <w:p>
      <w:pPr>
        <w:sectPr>
          <w:pgSz w:w="11880" w:h="15480" w:orient="portrait"/>
          <w:cols w:equalWidth="0" w:num="1">
            <w:col w:w="9700"/>
          </w:cols>
          <w:pgMar w:left="1080" w:top="107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9700"/>
          </w:cols>
          <w:pgMar w:left="1080" w:top="1079" w:right="1100" w:bottom="0" w:gutter="0" w:footer="0" w:header="0"/>
          <w:type w:val="continuous"/>
        </w:sectPr>
      </w:pPr>
    </w:p>
    <w:bookmarkStart w:id="113" w:name="page114"/>
    <w:bookmarkEnd w:id="113"/>
    <w:p>
      <w:pPr>
        <w:ind w:firstLine="490"/>
        <w:spacing w:after="0" w:line="243" w:lineRule="auto"/>
        <w:rPr>
          <w:sz w:val="20"/>
          <w:szCs w:val="20"/>
          <w:color w:val="auto"/>
        </w:rPr>
      </w:pPr>
      <w:r>
        <w:rPr>
          <w:rFonts w:ascii="Times New Roman" w:cs="Times New Roman" w:eastAsia="Times New Roman" w:hAnsi="Times New Roman"/>
          <w:sz w:val="20"/>
          <w:szCs w:val="20"/>
          <w:color w:val="auto"/>
        </w:rPr>
        <w:t>Our management team is responsible for day-to-day assessment and management of cybersecurity risks. On our management team, our Chief Financial Officer and Chief Operating Officer, or CFO and COO, leads the operational oversight of company-wide cybersecurity strategy, policy, standards and processes and works across relevant departments to assess and help prepare us and our employees, customers, vendors and other individuals to address cybersecurity risks. Our CFO and COO has more than eleven years of experience managing information technology teams of operating companies in the biotechnology industry. Our CFO and COO has implemented and maintains a formal cybersecurity program which is led by our Director of IT Cybersecurity who has over fifteen years of offensive and defensive cybersecurity experience with departments of the U.S. government, international alliances and small to large biopharmaceutical companies. We collaborate with a third party that provides virtual Chief Information Security Officer, or Virtual CISO, services to further support our cybersecurity program. Collectively, the individuals involved in our cybersecurity team and the Virtual CISO have notable experience in managing information security, possess the education and skills to fulfill these duties, and attend periodic trainings as necessary. During our CFO and COO’s temporary medical leave of absence, our Director of IT Cybersecurity reports to our management team through our interim CFO, who has 10 years of experience implementing and managing enterprise resource planning, or ERP, systems and cybersecurity policies in the biotechnology industry.</w:t>
      </w:r>
    </w:p>
    <w:p>
      <w:pPr>
        <w:spacing w:after="0" w:line="198" w:lineRule="exact"/>
        <w:rPr>
          <w:sz w:val="20"/>
          <w:szCs w:val="20"/>
          <w:color w:val="auto"/>
        </w:rPr>
      </w:pPr>
    </w:p>
    <w:p>
      <w:pPr>
        <w:ind w:right="260" w:firstLine="490"/>
        <w:spacing w:after="0" w:line="248" w:lineRule="auto"/>
        <w:rPr>
          <w:sz w:val="20"/>
          <w:szCs w:val="20"/>
          <w:color w:val="auto"/>
        </w:rPr>
      </w:pPr>
      <w:r>
        <w:rPr>
          <w:rFonts w:ascii="Times New Roman" w:cs="Times New Roman" w:eastAsia="Times New Roman" w:hAnsi="Times New Roman"/>
          <w:sz w:val="20"/>
          <w:szCs w:val="20"/>
          <w:color w:val="auto"/>
        </w:rPr>
        <w:t>In an effort to deter and detect cyber threats, we provide all employees, including part-time and temporary employees, with periodic security- awareness training, including training related to cybersecurity threats, which covers timely and relevant topics such as, but not limited to, threats from artificial intelligence, social engineering, phishing, password protection and mobile security, and educates employees on the importance of reporting all incidents immediately. We also use technology-based tools to mitigate cybersecurity risks and to bolster our employee-based cybersecurity programs.</w:t>
      </w:r>
    </w:p>
    <w:p>
      <w:pPr>
        <w:spacing w:after="0" w:line="18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42"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auto"/>
        </w:rPr>
        <w:t>Our facilities consist of leased office space, laboratory space and manufacturing facilities. Effective January 1, 2026, we entered into a sublease for approximately 24,000 square feet of office space located at 14 Crosby Drive in Bedford, Massachusetts. The lease commenced on January 1, 2026 and will expire on March 30, 2031. We expect this location will become our company headquarters. A summary of our leased properties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2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Lease</w:t>
            </w: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Square Feet</w:t>
            </w:r>
          </w:p>
        </w:tc>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Use</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157"/>
        </w:trPr>
        <w:tc>
          <w:tcPr>
            <w:tcW w:w="164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Bedford, MA . . . . . . . . .</w:t>
            </w:r>
          </w:p>
        </w:tc>
        <w:tc>
          <w:tcPr>
            <w:tcW w:w="22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71,000</w:t>
            </w:r>
          </w:p>
        </w:tc>
        <w:tc>
          <w:tcPr>
            <w:tcW w:w="220" w:type="dxa"/>
            <w:vAlign w:val="bottom"/>
          </w:tcPr>
          <w:p>
            <w:pPr>
              <w:spacing w:after="0"/>
              <w:rPr>
                <w:sz w:val="13"/>
                <w:szCs w:val="13"/>
                <w:color w:val="auto"/>
              </w:rPr>
            </w:pPr>
          </w:p>
        </w:tc>
        <w:tc>
          <w:tcPr>
            <w:tcW w:w="478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Manufacturing, laboratories, warehouse, office space</w:t>
            </w:r>
          </w:p>
        </w:tc>
        <w:tc>
          <w:tcPr>
            <w:tcW w:w="220" w:type="dxa"/>
            <w:vAlign w:val="bottom"/>
          </w:tcPr>
          <w:p>
            <w:pPr>
              <w:spacing w:after="0"/>
              <w:rPr>
                <w:sz w:val="13"/>
                <w:szCs w:val="13"/>
                <w:color w:val="auto"/>
              </w:rPr>
            </w:pPr>
          </w:p>
        </w:tc>
        <w:tc>
          <w:tcPr>
            <w:tcW w:w="11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2027</w:t>
            </w:r>
          </w:p>
        </w:tc>
      </w:tr>
      <w:tr>
        <w:trPr>
          <w:trHeight w:val="1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Bedford, MA . . . . . . . . .</w:t>
            </w:r>
          </w:p>
        </w:tc>
        <w:tc>
          <w:tcPr>
            <w:tcW w:w="168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color w:val="auto"/>
                <w:w w:val="99"/>
              </w:rPr>
              <w:t>24,000</w:t>
            </w:r>
          </w:p>
        </w:tc>
        <w:tc>
          <w:tcPr>
            <w:tcW w:w="22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Office space (future corporate headquarters)</w:t>
            </w:r>
          </w:p>
        </w:tc>
        <w:tc>
          <w:tcPr>
            <w:tcW w:w="14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2031</w:t>
            </w: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Bedford, MA . . . . . . . . .</w:t>
            </w:r>
          </w:p>
        </w:tc>
        <w:tc>
          <w:tcPr>
            <w:tcW w:w="168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color w:val="auto"/>
                <w:w w:val="99"/>
              </w:rPr>
              <w:t>20,000</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warehouse, office space</w:t>
            </w:r>
          </w:p>
        </w:tc>
        <w:tc>
          <w:tcPr>
            <w:tcW w:w="14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color w:val="auto"/>
                <w:w w:val="99"/>
              </w:rPr>
              <w:t>2028</w:t>
            </w:r>
          </w:p>
        </w:tc>
      </w:tr>
    </w:tbl>
    <w:p>
      <w:pPr>
        <w:spacing w:after="0" w:line="196" w:lineRule="exact"/>
        <w:rPr>
          <w:sz w:val="20"/>
          <w:szCs w:val="20"/>
          <w:color w:val="auto"/>
        </w:rPr>
      </w:pPr>
    </w:p>
    <w:p>
      <w:pPr>
        <w:ind w:right="140" w:firstLine="490"/>
        <w:spacing w:after="0" w:line="280" w:lineRule="auto"/>
        <w:rPr>
          <w:sz w:val="20"/>
          <w:szCs w:val="20"/>
          <w:color w:val="auto"/>
        </w:rPr>
      </w:pPr>
      <w:r>
        <w:rPr>
          <w:rFonts w:ascii="Times New Roman" w:cs="Times New Roman" w:eastAsia="Times New Roman" w:hAnsi="Times New Roman"/>
          <w:sz w:val="20"/>
          <w:szCs w:val="20"/>
          <w:color w:val="auto"/>
        </w:rPr>
        <w:t>We hold options to extend the lease for approximately 71,000 square feet in Bedford, Massachusetts for a total of up to 10 additional years. We believe our current facilities are suitable and adequate to meet our current needs.</w:t>
      </w:r>
    </w:p>
    <w:p>
      <w:pPr>
        <w:spacing w:after="0" w:line="15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4" w:lineRule="exact"/>
        <w:rPr>
          <w:sz w:val="20"/>
          <w:szCs w:val="20"/>
          <w:color w:val="auto"/>
        </w:rPr>
      </w:pPr>
    </w:p>
    <w:p>
      <w:pPr>
        <w:jc w:val="both"/>
        <w:ind w:right="40" w:firstLine="489"/>
        <w:spacing w:after="0" w:line="253" w:lineRule="auto"/>
        <w:rPr>
          <w:sz w:val="20"/>
          <w:szCs w:val="20"/>
          <w:color w:val="auto"/>
        </w:rPr>
      </w:pPr>
      <w:r>
        <w:rPr>
          <w:rFonts w:ascii="Times New Roman" w:cs="Times New Roman" w:eastAsia="Times New Roman" w:hAnsi="Times New Roman"/>
          <w:sz w:val="20"/>
          <w:szCs w:val="20"/>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not presently a party to any material legal proceedings, nor to the knowledge of management are any material legal proceedings threatened against us.</w:t>
      </w:r>
    </w:p>
    <w:p>
      <w:pPr>
        <w:spacing w:after="0" w:line="17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9720"/>
          </w:cols>
          <w:pgMar w:left="1080" w:top="1064" w:right="1080" w:bottom="0" w:gutter="0" w:footer="0" w:header="0"/>
          <w:type w:val="continuous"/>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left="980" w:right="400" w:hanging="978"/>
        <w:spacing w:after="0" w:line="288"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Issuer’s Purchases of Equity Securities</w:t>
      </w:r>
    </w:p>
    <w:p>
      <w:pPr>
        <w:spacing w:after="0" w:line="152" w:lineRule="exact"/>
        <w:rPr>
          <w:sz w:val="20"/>
          <w:szCs w:val="20"/>
          <w:color w:val="auto"/>
        </w:rPr>
      </w:pPr>
    </w:p>
    <w:p>
      <w:pPr>
        <w:ind w:right="560" w:firstLine="490"/>
        <w:spacing w:after="0" w:line="280" w:lineRule="auto"/>
        <w:rPr>
          <w:sz w:val="20"/>
          <w:szCs w:val="20"/>
          <w:color w:val="auto"/>
        </w:rPr>
      </w:pPr>
      <w:r>
        <w:rPr>
          <w:rFonts w:ascii="Times New Roman" w:cs="Times New Roman" w:eastAsia="Times New Roman" w:hAnsi="Times New Roman"/>
          <w:sz w:val="20"/>
          <w:szCs w:val="20"/>
          <w:color w:val="auto"/>
        </w:rPr>
        <w:t>Our common stock has been publicly traded on the Nasdaq Global Market under the symbol “OCUL” since July 25,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44" w:lineRule="exact"/>
        <w:rPr>
          <w:sz w:val="20"/>
          <w:szCs w:val="20"/>
          <w:color w:val="auto"/>
        </w:rPr>
      </w:pPr>
    </w:p>
    <w:p>
      <w:pPr>
        <w:ind w:right="220" w:firstLine="490"/>
        <w:spacing w:after="0" w:line="280" w:lineRule="auto"/>
        <w:rPr>
          <w:sz w:val="20"/>
          <w:szCs w:val="20"/>
          <w:color w:val="auto"/>
        </w:rPr>
      </w:pPr>
      <w:r>
        <w:rPr>
          <w:rFonts w:ascii="Times New Roman" w:cs="Times New Roman" w:eastAsia="Times New Roman" w:hAnsi="Times New Roman"/>
          <w:sz w:val="20"/>
          <w:szCs w:val="20"/>
          <w:color w:val="auto"/>
        </w:rPr>
        <w:t>As of February 2, 2026, there were approximately 10 holders of record of our common stock. This number does not include beneficial owners whose shares are held by nominees in street name.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we do not expect to pay any cash dividends on our common stock in the foreseeable future. In addition, the terms of our existing credit facility preclude us from paying cash dividends without the consent of our lenders.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2" w:lineRule="exact"/>
        <w:rPr>
          <w:sz w:val="20"/>
          <w:szCs w:val="20"/>
          <w:color w:val="auto"/>
        </w:rPr>
      </w:pPr>
    </w:p>
    <w:p>
      <w:pPr>
        <w:ind w:right="120" w:firstLine="489"/>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definitive proxy statement we will file in connection with our 2026 Annual Meeting of Stockholders and is incorporated by reference 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2"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We did not sell any shares of our common stock, shares of our preferred stock or warrants to purchase shares of our stock, or grant any stock options or restricted stock awards, during the year ended December 31, 2025 that were not registered under the Securities Act of 1933, as amended, or the Securities Act, and that have not otherwise been described in a Quarterly Report on Form 10-Q or a Current Report on Form 8-K.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of Equity Securities</w:t>
      </w:r>
    </w:p>
    <w:p>
      <w:pPr>
        <w:spacing w:after="0" w:line="242" w:lineRule="exact"/>
        <w:rPr>
          <w:sz w:val="20"/>
          <w:szCs w:val="20"/>
          <w:color w:val="auto"/>
        </w:rPr>
      </w:pPr>
    </w:p>
    <w:p>
      <w:pPr>
        <w:ind w:right="280" w:firstLine="489"/>
        <w:spacing w:after="0" w:line="280" w:lineRule="auto"/>
        <w:rPr>
          <w:sz w:val="20"/>
          <w:szCs w:val="20"/>
          <w:color w:val="auto"/>
        </w:rPr>
      </w:pPr>
      <w:r>
        <w:rPr>
          <w:rFonts w:ascii="Times New Roman" w:cs="Times New Roman" w:eastAsia="Times New Roman" w:hAnsi="Times New Roman"/>
          <w:sz w:val="20"/>
          <w:szCs w:val="20"/>
          <w:color w:val="auto"/>
        </w:rPr>
        <w:t>We did not purchase any of our registered equity securities during the period covered by this Annual Report on Form 10-K.</w:t>
      </w:r>
    </w:p>
    <w:p>
      <w:pPr>
        <w:sectPr>
          <w:pgSz w:w="11880" w:h="15480" w:orient="portrait"/>
          <w:cols w:equalWidth="0" w:num="1">
            <w:col w:w="9680"/>
          </w:cols>
          <w:pgMar w:left="1080" w:top="1085"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9680"/>
          </w:cols>
          <w:pgMar w:left="1080" w:top="1085" w:right="112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03"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following graph and chart compares the cumulative annual stockholder return on our common stock over the period commencing December 31, 2020 and ending on December 31, 2025, to that of the total return for the NASDAQ Composite Index and the NASDAQ Biotechnology Index, assuming an investment of $100 on December 31, 2020. In calculating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be “filed” with the SEC, nor shall such information be incorporated by reference in any of our filings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112395</wp:posOffset>
            </wp:positionV>
            <wp:extent cx="5794375" cy="3041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extLst>
                    </a:blip>
                    <a:srcRect/>
                    <a:stretch>
                      <a:fillRect/>
                    </a:stretch>
                  </pic:blipFill>
                  <pic:spPr bwMode="auto">
                    <a:xfrm>
                      <a:off x="0" y="0"/>
                      <a:ext cx="5794375" cy="304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vMerge w:val="restart"/>
          </w:tcPr>
          <w:p>
            <w:pPr>
              <w:jc w:val="right"/>
              <w:ind w:right="880"/>
              <w:spacing w:after="0"/>
              <w:rPr>
                <w:sz w:val="20"/>
                <w:szCs w:val="20"/>
                <w:color w:val="auto"/>
              </w:rPr>
            </w:pPr>
            <w:r>
              <w:rPr>
                <w:rFonts w:ascii="Times New Roman" w:cs="Times New Roman" w:eastAsia="Times New Roman" w:hAnsi="Times New Roman"/>
                <w:sz w:val="16"/>
                <w:szCs w:val="16"/>
                <w:color w:val="auto"/>
                <w:w w:val="99"/>
              </w:rPr>
              <w:t>Ocular Therapeutix</w:t>
            </w:r>
          </w:p>
        </w:tc>
        <w:tc>
          <w:tcPr>
            <w:tcW w:w="200" w:type="dxa"/>
            <w:vAlign w:val="bottom"/>
          </w:tcPr>
          <w:p>
            <w:pPr>
              <w:spacing w:after="0"/>
              <w:rPr>
                <w:sz w:val="17"/>
                <w:szCs w:val="17"/>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12/31/2020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12/31/2021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12/30/2022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12/29/2023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12/31/2024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12/31/2025</w:t>
            </w:r>
          </w:p>
        </w:tc>
        <w:tc>
          <w:tcPr>
            <w:tcW w:w="0" w:type="dxa"/>
            <w:vAlign w:val="bottom"/>
          </w:tcPr>
          <w:p>
            <w:pPr>
              <w:spacing w:after="0"/>
              <w:rPr>
                <w:sz w:val="1"/>
                <w:szCs w:val="1"/>
                <w:color w:val="auto"/>
              </w:rPr>
            </w:pPr>
          </w:p>
        </w:tc>
      </w:tr>
      <w:tr>
        <w:trPr>
          <w:trHeight w:val="160"/>
        </w:trPr>
        <w:tc>
          <w:tcPr>
            <w:tcW w:w="2220" w:type="dxa"/>
            <w:vAlign w:val="bottom"/>
            <w:vMerge w:val="continue"/>
          </w:tcPr>
          <w:p>
            <w:pPr>
              <w:jc w:val="right"/>
              <w:ind w:right="40"/>
              <w:spacing w:after="0" w:line="140" w:lineRule="exact"/>
              <w:rPr>
                <w:sz w:val="20"/>
                <w:szCs w:val="20"/>
                <w:color w:val="auto"/>
              </w:rPr>
            </w:pPr>
            <w:r>
              <w:rPr>
                <w:rFonts w:ascii="Times New Roman" w:cs="Times New Roman" w:eastAsia="Times New Roman" w:hAnsi="Times New Roman"/>
                <w:sz w:val="16"/>
                <w:szCs w:val="16"/>
                <w:color w:val="auto"/>
              </w:rPr>
              <w:t>. . . . . . . . . .</w:t>
            </w:r>
          </w:p>
        </w:tc>
        <w:tc>
          <w:tcPr>
            <w:tcW w:w="200" w:type="dxa"/>
            <w:vAlign w:val="bottom"/>
            <w:tcBorders>
              <w:top w:val="single" w:sz="8" w:color="auto"/>
            </w:tcBorders>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33.67</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13.57</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21.55</w:t>
            </w:r>
          </w:p>
        </w:tc>
        <w:tc>
          <w:tcPr>
            <w:tcW w:w="140" w:type="dxa"/>
            <w:vAlign w:val="bottom"/>
          </w:tcPr>
          <w:p>
            <w:pPr>
              <w:spacing w:after="0"/>
              <w:rPr>
                <w:sz w:val="13"/>
                <w:szCs w:val="13"/>
                <w:color w:val="auto"/>
              </w:rPr>
            </w:pP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41.26</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58.65</w:t>
            </w:r>
          </w:p>
        </w:tc>
        <w:tc>
          <w:tcPr>
            <w:tcW w:w="0" w:type="dxa"/>
            <w:vAlign w:val="bottom"/>
          </w:tcPr>
          <w:p>
            <w:pPr>
              <w:spacing w:after="0"/>
              <w:rPr>
                <w:sz w:val="1"/>
                <w:szCs w:val="1"/>
                <w:color w:val="auto"/>
              </w:rPr>
            </w:pPr>
          </w:p>
        </w:tc>
      </w:tr>
      <w:tr>
        <w:trPr>
          <w:trHeight w:val="186"/>
        </w:trPr>
        <w:tc>
          <w:tcPr>
            <w:tcW w:w="2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Nasdaq Composite . . . . . . . . . .</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0" w:type="dxa"/>
            <w:vAlign w:val="bottom"/>
          </w:tcPr>
          <w:p>
            <w:pPr>
              <w:spacing w:after="0"/>
              <w:rPr>
                <w:sz w:val="1"/>
                <w:szCs w:val="1"/>
                <w:color w:val="auto"/>
              </w:rPr>
            </w:pPr>
          </w:p>
        </w:tc>
      </w:tr>
      <w:tr>
        <w:trPr>
          <w:trHeight w:val="214"/>
        </w:trPr>
        <w:tc>
          <w:tcPr>
            <w:tcW w:w="2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8"/>
              </w:rPr>
              <w:t>Nasdaq Biotechnology Index . . .</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119.92</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0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Company</w:t>
      </w:r>
    </w:p>
    <w:p>
      <w:pPr>
        <w:spacing w:after="0" w:line="238" w:lineRule="exact"/>
        <w:rPr>
          <w:sz w:val="20"/>
          <w:szCs w:val="20"/>
          <w:color w:val="auto"/>
        </w:rPr>
      </w:pPr>
    </w:p>
    <w:p>
      <w:pPr>
        <w:ind w:right="160" w:firstLine="490"/>
        <w:spacing w:after="0" w:line="308" w:lineRule="auto"/>
        <w:rPr>
          <w:sz w:val="20"/>
          <w:szCs w:val="20"/>
          <w:color w:val="auto"/>
        </w:rPr>
      </w:pPr>
      <w:r>
        <w:rPr>
          <w:rFonts w:ascii="Times New Roman" w:cs="Times New Roman" w:eastAsia="Times New Roman" w:hAnsi="Times New Roman"/>
          <w:sz w:val="19"/>
          <w:szCs w:val="19"/>
          <w:color w:val="auto"/>
        </w:rPr>
        <w:t>We are an integrated biopharmaceutical company committed to redefining the retina experience. AXPAXLI, also known as OTX-TKI), our investigational product candidate for retinal disease, is an axitinib intravitreal hydrogel based</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9720"/>
          </w:cols>
          <w:pgMar w:left="1080" w:top="1062" w:right="1080" w:bottom="0" w:gutter="0" w:footer="0" w:header="0"/>
          <w:type w:val="continuous"/>
        </w:sectPr>
      </w:pPr>
    </w:p>
    <w:bookmarkStart w:id="116" w:name="page117"/>
    <w:bookmarkEnd w:id="116"/>
    <w:p>
      <w:pPr>
        <w:ind w:right="80"/>
        <w:spacing w:after="0" w:line="253" w:lineRule="auto"/>
        <w:rPr>
          <w:sz w:val="20"/>
          <w:szCs w:val="20"/>
          <w:color w:val="auto"/>
        </w:rPr>
      </w:pPr>
      <w:r>
        <w:rPr>
          <w:rFonts w:ascii="Times New Roman" w:cs="Times New Roman" w:eastAsia="Times New Roman" w:hAnsi="Times New Roman"/>
          <w:sz w:val="20"/>
          <w:szCs w:val="20"/>
          <w:color w:val="auto"/>
        </w:rPr>
        <w:t>on our ELUTYX proprietary bioresorbable hydrogel-based formulation technology. AXPAXLI is currently being evaluated in a Phase 3 registrational program for wet age-related macular degeneration, or wet AMD, which we refer to as the SOL program. AXPAXLI is currently also being evaluated in a Phase 3 registrational program for diabetic retinal disease, including non-proliferative diabetic retinopathy, or NPDR, which we refer to as the HELIOS program.</w:t>
      </w:r>
    </w:p>
    <w:p>
      <w:pPr>
        <w:spacing w:after="0" w:line="191"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color w:val="auto"/>
        </w:rPr>
        <w:t>We also leverage the ELUTYX technology in our commercial product DEXTENZA, a corticosteroid approved by the U.S. Food and Drug Administration, or FDA, for the treatment of ocular inflammation and pain following ophthalmic surgery in adults and pediatric patients and for the treatment of ocular itching associated with allergic conjunctivitis in adults and pediatric patients aged two years or older, and in our product candidate OTX-TIC, which is a travoprost intracameral hydrogel that has completed a Phase 2 clinical trial for the treatment of open-angle glaucoma, or OAG, or ocular hypertension, or OHT. We are currently evaluating next steps for the OTX-TIC program.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Key Business and Financial Developments</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AXPAXLI for the treatment of wet AMD</w:t>
      </w:r>
    </w:p>
    <w:p>
      <w:pPr>
        <w:spacing w:after="0" w:line="236"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Pending the receipt of favorable results from the SOL-1 trial and planned interactions with the FDA, we intend to submit a new drug application, or NDA, for AXPAXLI for the treatment of wet AMD based on Week 52 data from the SOL-1 trial, without necessarily waiting to receive additional clinical data from the SOL-1, SOL-R or other clinical trials. Because axitinib is FDA-approved for non-ophthalmic indications, we plan to submit an NDA under Section 505(b)(2) of the Federal Food, Drug, and Cosmetic Act, or FDCA, which has the potential to shorten the review timeline for AXPAXLI by up to two months compared to the traditional review pathway for new molecular entities.</w:t>
      </w:r>
    </w:p>
    <w:p>
      <w:pPr>
        <w:spacing w:after="0" w:line="194" w:lineRule="exact"/>
        <w:rPr>
          <w:sz w:val="20"/>
          <w:szCs w:val="20"/>
          <w:color w:val="auto"/>
        </w:rPr>
      </w:pPr>
    </w:p>
    <w:p>
      <w:pPr>
        <w:ind w:firstLine="489"/>
        <w:spacing w:after="0" w:line="253" w:lineRule="auto"/>
        <w:rPr>
          <w:sz w:val="20"/>
          <w:szCs w:val="20"/>
          <w:color w:val="auto"/>
        </w:rPr>
      </w:pPr>
      <w:r>
        <w:rPr>
          <w:rFonts w:ascii="Times New Roman" w:cs="Times New Roman" w:eastAsia="Times New Roman" w:hAnsi="Times New Roman"/>
          <w:sz w:val="20"/>
          <w:szCs w:val="20"/>
          <w:color w:val="auto"/>
        </w:rPr>
        <w:t>As of February 4, 2026, the SOL-1 trial continues to maintain an exceptional rate of subject retention and per protocol-defined treatment rescues. All subjects have completed their Week 52 visit and have been re-dosed according to their baseline treatment assignment. Oversight by an independent data and safety monitoring committee has not identified any safety signals in the SOL-1 trial to date.</w:t>
      </w:r>
    </w:p>
    <w:p>
      <w:pPr>
        <w:spacing w:after="0" w:line="191" w:lineRule="exact"/>
        <w:rPr>
          <w:sz w:val="20"/>
          <w:szCs w:val="20"/>
          <w:color w:val="auto"/>
        </w:rPr>
      </w:pPr>
    </w:p>
    <w:p>
      <w:pPr>
        <w:ind w:right="280" w:firstLine="489"/>
        <w:spacing w:after="0" w:line="280" w:lineRule="auto"/>
        <w:rPr>
          <w:sz w:val="20"/>
          <w:szCs w:val="20"/>
          <w:color w:val="auto"/>
        </w:rPr>
      </w:pPr>
      <w:r>
        <w:rPr>
          <w:rFonts w:ascii="Times New Roman" w:cs="Times New Roman" w:eastAsia="Times New Roman" w:hAnsi="Times New Roman"/>
          <w:sz w:val="20"/>
          <w:szCs w:val="20"/>
          <w:color w:val="auto"/>
        </w:rPr>
        <w:t>As of February 4, 2026, the results of the SOL-1 trial remain masked. We expect to present Week 52 results for the SOL-1 trial at the 49th Macula Society Annual Meeting, taking place between February 25 – 28, 2026.</w:t>
      </w:r>
    </w:p>
    <w:p>
      <w:pPr>
        <w:spacing w:after="0" w:line="163" w:lineRule="exact"/>
        <w:rPr>
          <w:sz w:val="20"/>
          <w:szCs w:val="20"/>
          <w:color w:val="auto"/>
        </w:rPr>
      </w:pPr>
    </w:p>
    <w:p>
      <w:pPr>
        <w:ind w:right="20" w:firstLine="489"/>
        <w:spacing w:after="0" w:line="250" w:lineRule="auto"/>
        <w:rPr>
          <w:sz w:val="20"/>
          <w:szCs w:val="20"/>
          <w:color w:val="auto"/>
        </w:rPr>
      </w:pPr>
      <w:r>
        <w:rPr>
          <w:rFonts w:ascii="Times New Roman" w:cs="Times New Roman" w:eastAsia="Times New Roman" w:hAnsi="Times New Roman"/>
          <w:sz w:val="20"/>
          <w:szCs w:val="20"/>
          <w:color w:val="auto"/>
        </w:rPr>
        <w:t>In November 2025, we announced that the SOL-R trial has achieved its randomization target of 555 subjects. We continued to allow randomization of previously enrolled subjects that were still in the loading phase when we achieved target randomization to maintain our commitment to both patients and investigators. We completed randomization of the SOL-R trial in December 2025 with 631 subjects randomized. We expect topline data from the SOL-R trial to be available in the first quarter of 2027, an acceleration from our previous guidance of the first half of 2027.</w:t>
      </w:r>
    </w:p>
    <w:p>
      <w:pPr>
        <w:spacing w:after="0" w:line="192" w:lineRule="exact"/>
        <w:rPr>
          <w:sz w:val="20"/>
          <w:szCs w:val="20"/>
          <w:color w:val="auto"/>
        </w:rPr>
      </w:pPr>
    </w:p>
    <w:p>
      <w:pPr>
        <w:ind w:right="300" w:firstLine="489"/>
        <w:spacing w:after="0" w:line="260" w:lineRule="auto"/>
        <w:rPr>
          <w:sz w:val="20"/>
          <w:szCs w:val="20"/>
          <w:color w:val="auto"/>
        </w:rPr>
      </w:pPr>
      <w:r>
        <w:rPr>
          <w:rFonts w:ascii="Times New Roman" w:cs="Times New Roman" w:eastAsia="Times New Roman" w:hAnsi="Times New Roman"/>
          <w:sz w:val="20"/>
          <w:szCs w:val="20"/>
          <w:color w:val="auto"/>
        </w:rPr>
        <w:t>We plan to initiate, in the second quarter of 2026, a multi-center, open-label long-term safety extension clinical trial, which we refer to as the SOL-X trial, to evaluate subjects who have completed their two-year safety follow-up visits in either the SOL-1 or SOL-R trials for an additional three years.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AXPAXLI for the treatment of diabetic retinal disease</w:t>
      </w:r>
    </w:p>
    <w:p>
      <w:pPr>
        <w:spacing w:after="0" w:line="236" w:lineRule="exact"/>
        <w:rPr>
          <w:sz w:val="20"/>
          <w:szCs w:val="20"/>
          <w:color w:val="auto"/>
        </w:rPr>
      </w:pPr>
    </w:p>
    <w:p>
      <w:pPr>
        <w:jc w:val="both"/>
        <w:ind w:right="260" w:firstLine="490"/>
        <w:spacing w:after="0" w:line="253" w:lineRule="auto"/>
        <w:rPr>
          <w:sz w:val="20"/>
          <w:szCs w:val="20"/>
          <w:color w:val="auto"/>
        </w:rPr>
      </w:pPr>
      <w:r>
        <w:rPr>
          <w:rFonts w:ascii="Times New Roman" w:cs="Times New Roman" w:eastAsia="Times New Roman" w:hAnsi="Times New Roman"/>
          <w:sz w:val="20"/>
          <w:szCs w:val="20"/>
          <w:color w:val="auto"/>
        </w:rPr>
        <w:t>We have initiated our registrational program for AXPAXLI for the treatment of diabetic retinal disease with the HELIOS-3 superiority clinical trial for the treatment of NPDR in November 2025. We plan to refine our development and regulatory strategy for AXPAXLI for the treatment of diabetic retinal disease based on our planned engagements with the FDA regarding the regulatory pathway for AXPAXLI for the treatment of wet AMD.</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OTX-TIC for OAG or OHT</w:t>
      </w:r>
    </w:p>
    <w:p>
      <w:pPr>
        <w:spacing w:after="0" w:line="236" w:lineRule="exact"/>
        <w:rPr>
          <w:sz w:val="20"/>
          <w:szCs w:val="20"/>
          <w:color w:val="auto"/>
        </w:rPr>
      </w:pPr>
    </w:p>
    <w:p>
      <w:pPr>
        <w:ind w:right="160" w:firstLine="490"/>
        <w:spacing w:after="0" w:line="250" w:lineRule="auto"/>
        <w:rPr>
          <w:sz w:val="20"/>
          <w:szCs w:val="20"/>
          <w:color w:val="auto"/>
        </w:rPr>
      </w:pPr>
      <w:r>
        <w:rPr>
          <w:rFonts w:ascii="Times New Roman" w:cs="Times New Roman" w:eastAsia="Times New Roman" w:hAnsi="Times New Roman"/>
          <w:sz w:val="20"/>
          <w:szCs w:val="20"/>
          <w:color w:val="auto"/>
        </w:rPr>
        <w:t>In the third quarter of 2025, we completed a pilot repeat-dose sub-study in a subset of subjects from our Phase 2 clinical trial of OTX-TIC to evaluate the safety of a repeat, sustained release dose of OTX-TIC 26 µg. OTX-TIC 26 µg was generally well tolerated after both single and repeat dosing in patients with OAG or OHT. In addition, no new safety concerns were identified following repeat-dosing of OTX-TIC 26 µg in the small subset of subjects who participated in the sub-study. We are currently evaluating next steps for the OTX-TIC program.</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9700"/>
          </w:cols>
          <w:pgMar w:left="1080" w:top="1064" w:right="1100" w:bottom="0" w:gutter="0" w:footer="0" w:header="0"/>
          <w:type w:val="continuous"/>
        </w:sectPr>
      </w:pPr>
    </w:p>
    <w:bookmarkStart w:id="117" w:name="page118"/>
    <w:bookmarkEnd w:id="117"/>
    <w:p>
      <w:pPr>
        <w:ind w:left="540"/>
        <w:spacing w:after="0"/>
        <w:rPr>
          <w:sz w:val="20"/>
          <w:szCs w:val="20"/>
          <w:color w:val="auto"/>
        </w:rPr>
      </w:pPr>
      <w:r>
        <w:rPr>
          <w:rFonts w:ascii="Times New Roman" w:cs="Times New Roman" w:eastAsia="Times New Roman" w:hAnsi="Times New Roman"/>
          <w:sz w:val="20"/>
          <w:szCs w:val="20"/>
          <w:i w:val="1"/>
          <w:iCs w:val="1"/>
          <w:color w:val="auto"/>
        </w:rPr>
        <w:t>2025 Offering</w:t>
      </w:r>
    </w:p>
    <w:p>
      <w:pPr>
        <w:spacing w:after="0" w:line="236" w:lineRule="exact"/>
        <w:rPr>
          <w:sz w:val="20"/>
          <w:szCs w:val="20"/>
          <w:color w:val="auto"/>
        </w:rPr>
      </w:pPr>
    </w:p>
    <w:p>
      <w:pPr>
        <w:ind w:right="400" w:firstLine="490"/>
        <w:spacing w:after="0" w:line="260" w:lineRule="auto"/>
        <w:rPr>
          <w:sz w:val="20"/>
          <w:szCs w:val="20"/>
          <w:color w:val="auto"/>
        </w:rPr>
      </w:pPr>
      <w:r>
        <w:rPr>
          <w:rFonts w:ascii="Times New Roman" w:cs="Times New Roman" w:eastAsia="Times New Roman" w:hAnsi="Times New Roman"/>
          <w:sz w:val="20"/>
          <w:szCs w:val="20"/>
          <w:color w:val="auto"/>
        </w:rPr>
        <w:t>In October 2025, we completed an underwritten offering of 37,909,018 shares of our common stock for an offering price of $12.53 per share, or the 2025 Offering. We received net proceeds of approximately $445.6 million, after deducting underwriting discounts and commissions and other offering expenses, from the 2025 Offering.</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Commercial</w:t>
      </w:r>
    </w:p>
    <w:p>
      <w:pPr>
        <w:spacing w:after="0" w:line="237"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Our net product revenue is generated from the sale of DEXTENZA to specialty distributors, or SDs, for resale to certain ambulatory surgery centers, or ASCs, certain hospital outpatient departments, or HOPDs, and certain physicians’ offices, and from the direct sale by us to ASCs and physicians’ offices, or Direct Sales.</w:t>
      </w:r>
    </w:p>
    <w:p>
      <w:pPr>
        <w:spacing w:after="0" w:line="186"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Our net product revenue was $51.8 million for the year ended December 31, 2025, reflecting a decrease of $11.6 million or 18.3% over the year ended December 31, 2024. We believe that the year-over-year decrease in net product revenue is primarily attributable to the Medicare reimbursement cap, the impact of rebates and discounts, and the impact of the inclusion of DEXTENZA into the cost performance category of the Centers for Medicare &amp; Medicaid Services’ Merit-based Incentive Payment System, or MIPS, for 2025.</w:t>
      </w:r>
    </w:p>
    <w:p>
      <w:pPr>
        <w:spacing w:after="0" w:line="19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Demand for DEXTENZA is determined by In-Market Sales, defined as unit sales from the SDs to ASCs, HOPDs, and physicians’ offices, and unit sales made directly by us to ASCs and physicians’ offices. We recorded In-Market Sales of approximately 180,000 units for the year ended December 31, 2025, an increase of approximately 5,000 units compared to the year ended December 31, 2024. Differences between In-Market Sales figures and the number of units of DEXTENZA sold by us to SDs and through Direct Sales as included in net product revenue recognized in our consolidated financial statements are attributable to distributor stocking patterns. We believe that clinicians are adjusting to the impact of MIPS, and together with our increased sales efforts directed towards HOPDs, we expect DEXTENZA unit growth to continue.</w:t>
      </w:r>
    </w:p>
    <w:p>
      <w:pPr>
        <w:spacing w:after="0" w:line="202"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20"/>
          <w:szCs w:val="20"/>
          <w:color w:val="auto"/>
        </w:rPr>
        <w:t>Pursuant to 42 U.S.C. par. 1395 et seq., or the Medicare Statute, physician administered non-opioid pain medications have received separate payment in both the ASC and HOPD settings of care effective as of January 1, 2025. The Medicare Statute allows for continued separate payment of DEXTENZA in the ASC and HOPD settings in 2026.</w:t>
      </w:r>
    </w:p>
    <w:p>
      <w:pPr>
        <w:spacing w:after="0" w:line="183" w:lineRule="exact"/>
        <w:rPr>
          <w:sz w:val="20"/>
          <w:szCs w:val="20"/>
          <w:color w:val="auto"/>
        </w:rPr>
      </w:pPr>
    </w:p>
    <w:p>
      <w:pPr>
        <w:ind w:right="80" w:firstLine="489"/>
        <w:spacing w:after="0" w:line="248" w:lineRule="auto"/>
        <w:rPr>
          <w:sz w:val="20"/>
          <w:szCs w:val="20"/>
          <w:color w:val="auto"/>
        </w:rPr>
      </w:pPr>
      <w:r>
        <w:rPr>
          <w:rFonts w:ascii="Times New Roman" w:cs="Times New Roman" w:eastAsia="Times New Roman" w:hAnsi="Times New Roman"/>
          <w:sz w:val="20"/>
          <w:szCs w:val="20"/>
          <w:color w:val="auto"/>
        </w:rPr>
        <w:t>The Medicare Statute limits the separate payment for physician administered non-opioid pain medications. In October 2025, the Centers for Medicare &amp; Medicaid Services, or CMS, released the final Medicare Physician Fee Schedule, or MPFS, for the calendar year 2026, or the CY 2026 MPFS, which resulted in a marginal decrease in physician payments compared to 2025 to $27.53 in the ASCs and HOPDs and a marginal increase compared to 2025 to $38.94 in the physician’s office for unilateral insertion. The CY 2026 MPFS confirmed the inclusion of DEXTENZA in the cost performance category of MIPS for 2026.</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Other Developments</w:t>
      </w:r>
    </w:p>
    <w:p>
      <w:pPr>
        <w:spacing w:after="0" w:line="237" w:lineRule="exact"/>
        <w:rPr>
          <w:sz w:val="20"/>
          <w:szCs w:val="20"/>
          <w:color w:val="auto"/>
        </w:rPr>
      </w:pPr>
    </w:p>
    <w:p>
      <w:pPr>
        <w:ind w:right="360" w:firstLine="490"/>
        <w:spacing w:after="0" w:line="253" w:lineRule="auto"/>
        <w:rPr>
          <w:sz w:val="20"/>
          <w:szCs w:val="20"/>
          <w:color w:val="auto"/>
        </w:rPr>
      </w:pPr>
      <w:r>
        <w:rPr>
          <w:rFonts w:ascii="Times New Roman" w:cs="Times New Roman" w:eastAsia="Times New Roman" w:hAnsi="Times New Roman"/>
          <w:sz w:val="20"/>
          <w:szCs w:val="20"/>
          <w:color w:val="auto"/>
        </w:rPr>
        <w:t>The Trump administration has announced or imposed a series of tariffs on U.S. trading partners. In response, several countries have threatened or imposed retaliatory measures. At this time, we do not anticipate the tariffs and changes in trade policies in place as of the filing of this Annual Report on Form 10-K will have a significant adverse effect on our business or operations.</w:t>
      </w:r>
    </w:p>
    <w:p>
      <w:pPr>
        <w:spacing w:after="0" w:line="190" w:lineRule="exact"/>
        <w:rPr>
          <w:sz w:val="20"/>
          <w:szCs w:val="20"/>
          <w:color w:val="auto"/>
        </w:rPr>
      </w:pPr>
    </w:p>
    <w:p>
      <w:pPr>
        <w:ind w:right="180" w:firstLine="490"/>
        <w:spacing w:after="0" w:line="280" w:lineRule="auto"/>
        <w:rPr>
          <w:sz w:val="20"/>
          <w:szCs w:val="20"/>
          <w:color w:val="auto"/>
        </w:rPr>
      </w:pPr>
      <w:r>
        <w:rPr>
          <w:rFonts w:ascii="Times New Roman" w:cs="Times New Roman" w:eastAsia="Times New Roman" w:hAnsi="Times New Roman"/>
          <w:sz w:val="20"/>
          <w:szCs w:val="20"/>
          <w:color w:val="auto"/>
        </w:rPr>
        <w:t>Following recent changes more broadly within the FDA, and the federal government shutdown in 2025, we have not noticed any disruption in the cadence and nature of our dialogue with the FDA to date.</w:t>
      </w:r>
    </w:p>
    <w:p>
      <w:pPr>
        <w:spacing w:after="0" w:line="164"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On July 4, 2025, President Trump signed the One Big Beautiful Bill Act, or the OBBBA, which includes, among other provisions, significant changes to healthcare policy. At this time, we do not anticipate the changes implemented by the OBBBA to have a significant adverse effect on our business or operations.</w:t>
      </w:r>
    </w:p>
    <w:p>
      <w:pPr>
        <w:sectPr>
          <w:pgSz w:w="11880" w:h="15480" w:orient="portrait"/>
          <w:cols w:equalWidth="0" w:num="1">
            <w:col w:w="9700"/>
          </w:cols>
          <w:pgMar w:left="1080" w:top="106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9700"/>
          </w:cols>
          <w:pgMar w:left="1080" w:top="1069" w:right="110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auto"/>
        </w:rPr>
        <w:t>Components of our Financial Performance</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We record DEXTENZA product sales net of applicable reserves for variable consideration, including off-invoice discounts, or OIDs, estimated chargebacks, rebates, distribution fees, product returns, and other incentives. Collectively, these discounts, allowances and other reserves are generally referred to as gross-to-net provisions, or GTN Provisions.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Cost of Product Revenue</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Cost of product revenue consists primarily of costs of DEXTENZA product revenue, which include:</w:t>
      </w:r>
    </w:p>
    <w:p>
      <w:pPr>
        <w:spacing w:after="0" w:line="255" w:lineRule="exact"/>
        <w:rPr>
          <w:sz w:val="20"/>
          <w:szCs w:val="20"/>
          <w:color w:val="auto"/>
        </w:rPr>
      </w:pPr>
    </w:p>
    <w:p>
      <w:pPr>
        <w:ind w:left="860" w:hanging="363"/>
        <w:spacing w:after="0"/>
        <w:tabs>
          <w:tab w:leader="none" w:pos="86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Direct materials costs;</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Royalties;</w:t>
      </w:r>
    </w:p>
    <w:p>
      <w:pPr>
        <w:spacing w:after="0" w:line="252" w:lineRule="exact"/>
        <w:rPr>
          <w:rFonts w:ascii="Arial" w:cs="Arial" w:eastAsia="Arial" w:hAnsi="Arial"/>
          <w:sz w:val="20"/>
          <w:szCs w:val="20"/>
          <w:color w:val="auto"/>
        </w:rPr>
      </w:pPr>
    </w:p>
    <w:p>
      <w:pPr>
        <w:ind w:left="860" w:hanging="363"/>
        <w:spacing w:after="0" w:line="279" w:lineRule="auto"/>
        <w:tabs>
          <w:tab w:leader="none" w:pos="86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Direct labor, which includes employee-related expenses, including salaries, related benefits and payroll taxes, and stock-based compensation expense for employees engaged in the production process;</w:t>
      </w:r>
    </w:p>
    <w:p>
      <w:pPr>
        <w:spacing w:after="0" w:line="178" w:lineRule="exact"/>
        <w:rPr>
          <w:rFonts w:ascii="Arial" w:cs="Arial" w:eastAsia="Arial" w:hAnsi="Arial"/>
          <w:sz w:val="20"/>
          <w:szCs w:val="20"/>
          <w:color w:val="auto"/>
        </w:rPr>
      </w:pPr>
    </w:p>
    <w:p>
      <w:pPr>
        <w:ind w:left="860" w:right="80" w:hanging="363"/>
        <w:spacing w:after="0" w:line="279" w:lineRule="auto"/>
        <w:tabs>
          <w:tab w:leader="none" w:pos="86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overhead costs, which includes rent, depreciation, and indirect labor costs associated with the production process;</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Transportation costs; and</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Cost of scrap material.</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6" w:lineRule="exact"/>
        <w:rPr>
          <w:sz w:val="20"/>
          <w:szCs w:val="20"/>
          <w:color w:val="auto"/>
        </w:rPr>
      </w:pPr>
    </w:p>
    <w:p>
      <w:pPr>
        <w:ind w:right="580" w:firstLine="490"/>
        <w:spacing w:after="0" w:line="280"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the development of our product candidates, which include:</w:t>
      </w:r>
    </w:p>
    <w:p>
      <w:pPr>
        <w:spacing w:after="0" w:line="179" w:lineRule="exact"/>
        <w:rPr>
          <w:sz w:val="20"/>
          <w:szCs w:val="20"/>
          <w:color w:val="auto"/>
        </w:rPr>
      </w:pPr>
    </w:p>
    <w:p>
      <w:pPr>
        <w:ind w:left="860" w:right="120" w:hanging="363"/>
        <w:spacing w:after="0" w:line="259"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expenses incurred in connection with the clinical trials of our product candidates, including with the investigative sites that conduct our clinical trials and under agreements with contract research organizations, or CROs;</w:t>
      </w:r>
    </w:p>
    <w:p>
      <w:pPr>
        <w:spacing w:after="0" w:line="197" w:lineRule="exact"/>
        <w:rPr>
          <w:rFonts w:ascii="Arial" w:cs="Arial" w:eastAsia="Arial" w:hAnsi="Arial"/>
          <w:sz w:val="20"/>
          <w:szCs w:val="20"/>
          <w:color w:val="auto"/>
        </w:rPr>
      </w:pPr>
    </w:p>
    <w:p>
      <w:pPr>
        <w:ind w:left="860" w:right="20" w:hanging="363"/>
        <w:spacing w:after="0" w:line="260"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employee-related expenses, including salaries, related benefits and payroll taxes, travel and stock-based compensation expense for employees engaged in research and development, clinical and regulatory and other related functions;</w:t>
      </w:r>
    </w:p>
    <w:p>
      <w:pPr>
        <w:spacing w:after="0" w:line="196" w:lineRule="exact"/>
        <w:rPr>
          <w:rFonts w:ascii="Arial" w:cs="Arial" w:eastAsia="Arial" w:hAnsi="Arial"/>
          <w:sz w:val="20"/>
          <w:szCs w:val="20"/>
          <w:color w:val="auto"/>
        </w:rPr>
      </w:pPr>
    </w:p>
    <w:p>
      <w:pPr>
        <w:ind w:left="860" w:right="580" w:hanging="363"/>
        <w:spacing w:after="0" w:line="279"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expenses relating to regulatory activities, including filing fees paid to the FDA for our submissions for product approvals;</w:t>
      </w:r>
    </w:p>
    <w:p>
      <w:pPr>
        <w:spacing w:after="0" w:line="179" w:lineRule="exact"/>
        <w:rPr>
          <w:rFonts w:ascii="Arial" w:cs="Arial" w:eastAsia="Arial" w:hAnsi="Arial"/>
          <w:sz w:val="20"/>
          <w:szCs w:val="20"/>
          <w:color w:val="auto"/>
        </w:rPr>
      </w:pPr>
    </w:p>
    <w:p>
      <w:pPr>
        <w:ind w:left="860" w:right="480" w:hanging="363"/>
        <w:spacing w:after="0" w:line="279"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expenses associated with developing our pre-commercial manufacturing capabilities and manufacturing clinical study materials;</w:t>
      </w:r>
    </w:p>
    <w:p>
      <w:pPr>
        <w:spacing w:after="0" w:line="178" w:lineRule="exact"/>
        <w:rPr>
          <w:rFonts w:ascii="Arial" w:cs="Arial" w:eastAsia="Arial" w:hAnsi="Arial"/>
          <w:sz w:val="20"/>
          <w:szCs w:val="20"/>
          <w:color w:val="auto"/>
        </w:rPr>
      </w:pPr>
    </w:p>
    <w:p>
      <w:pPr>
        <w:ind w:left="860" w:right="460" w:hanging="363"/>
        <w:spacing w:after="0" w:line="279"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ongoing research and development activities relating to our core bioresorbable hydrogel technology and improvements to this technology;</w:t>
      </w:r>
    </w:p>
    <w:p>
      <w:pPr>
        <w:spacing w:after="0" w:line="178" w:lineRule="exact"/>
        <w:rPr>
          <w:rFonts w:ascii="Arial" w:cs="Arial" w:eastAsia="Arial" w:hAnsi="Arial"/>
          <w:sz w:val="20"/>
          <w:szCs w:val="20"/>
          <w:color w:val="auto"/>
        </w:rPr>
      </w:pPr>
    </w:p>
    <w:p>
      <w:pPr>
        <w:ind w:left="860" w:right="840" w:hanging="363"/>
        <w:spacing w:after="0" w:line="279"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facilities, depreciation and other expenses, which include direct and allocated expenses for rent and maintenance of facilities, insurance and supplies;</w:t>
      </w:r>
    </w:p>
    <w:p>
      <w:pPr>
        <w:spacing w:after="0" w:line="178" w:lineRule="exact"/>
        <w:rPr>
          <w:rFonts w:ascii="Arial" w:cs="Arial" w:eastAsia="Arial" w:hAnsi="Arial"/>
          <w:sz w:val="20"/>
          <w:szCs w:val="20"/>
          <w:color w:val="auto"/>
        </w:rPr>
      </w:pPr>
    </w:p>
    <w:p>
      <w:pPr>
        <w:ind w:left="860" w:right="280" w:hanging="363"/>
        <w:spacing w:after="0" w:line="279" w:lineRule="auto"/>
        <w:tabs>
          <w:tab w:leader="none" w:pos="86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costs relating to the supply and manufacturing of product inventory, prior to approval by the FDA or other regulatory agencies of our products; and</w:t>
      </w:r>
    </w:p>
    <w:p>
      <w:pPr>
        <w:sectPr>
          <w:pgSz w:w="11880" w:h="15480" w:orient="portrait"/>
          <w:cols w:equalWidth="0" w:num="1">
            <w:col w:w="9640"/>
          </w:cols>
          <w:pgMar w:left="1080" w:top="106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9640"/>
          </w:cols>
          <w:pgMar w:left="1080" w:top="1062" w:right="1160" w:bottom="0" w:gutter="0" w:footer="0" w:header="0"/>
          <w:type w:val="continuous"/>
        </w:sectPr>
      </w:pPr>
    </w:p>
    <w:bookmarkStart w:id="119" w:name="page120"/>
    <w:bookmarkEnd w:id="119"/>
    <w:p>
      <w:pPr>
        <w:ind w:left="860" w:hanging="363"/>
        <w:spacing w:after="0"/>
        <w:tabs>
          <w:tab w:leader="none" w:pos="86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expenses associated with preclinical development activities.</w:t>
      </w:r>
    </w:p>
    <w:p>
      <w:pPr>
        <w:spacing w:after="0" w:line="238" w:lineRule="exact"/>
        <w:rPr>
          <w:sz w:val="20"/>
          <w:szCs w:val="20"/>
          <w:color w:val="auto"/>
        </w:rPr>
      </w:pPr>
    </w:p>
    <w:p>
      <w:pPr>
        <w:ind w:right="300" w:firstLine="489"/>
        <w:spacing w:after="0" w:line="260" w:lineRule="auto"/>
        <w:rPr>
          <w:sz w:val="20"/>
          <w:szCs w:val="20"/>
          <w:color w:val="auto"/>
        </w:rPr>
      </w:pPr>
      <w:r>
        <w:rPr>
          <w:rFonts w:ascii="Times New Roman" w:cs="Times New Roman" w:eastAsia="Times New Roman" w:hAnsi="Times New Roman"/>
          <w:sz w:val="20"/>
          <w:szCs w:val="20"/>
          <w:color w:val="auto"/>
        </w:rPr>
        <w:t>We expense research and development costs as incurred. We recognize external development costs based on an evaluation of the progress to completion of specific tasks using information provided to us by our vendors and our clinical investigative sites.</w:t>
      </w:r>
    </w:p>
    <w:p>
      <w:pPr>
        <w:spacing w:after="0" w:line="183" w:lineRule="exact"/>
        <w:rPr>
          <w:sz w:val="20"/>
          <w:szCs w:val="20"/>
          <w:color w:val="auto"/>
        </w:rPr>
      </w:pPr>
    </w:p>
    <w:p>
      <w:pPr>
        <w:ind w:right="20" w:firstLine="489"/>
        <w:spacing w:after="0" w:line="244" w:lineRule="auto"/>
        <w:rPr>
          <w:sz w:val="20"/>
          <w:szCs w:val="20"/>
          <w:color w:val="auto"/>
        </w:rPr>
      </w:pPr>
      <w:r>
        <w:rPr>
          <w:rFonts w:ascii="Times New Roman" w:cs="Times New Roman" w:eastAsia="Times New Roman" w:hAnsi="Times New Roman"/>
          <w:sz w:val="20"/>
          <w:szCs w:val="20"/>
          <w:color w:val="auto"/>
        </w:rPr>
        <w:t>Our direct research and development expenses are tracked on a program-by-program basis and consist primarily of external costs, such as fees paid to investigators, consultants, central laboratories and CROs in connection with our clinical trials and regulatory fees. We do not allocate employee and contractor-related costs, costs associated with our proprietary bioresorbable hydrogel-based formulation technology ELUTYX, costs related to manufacturing or purchasing clinical trial materials, and facility expenses, including depreciation or other indirect costs, to specific product development programs because these costs are deployed across multiple product development programs and, as such, are not separately classified. We use internal resources in combination with third -party CROs, including clinical monitors and clinical research associates, to manage our clinical trials, monitor subject enrollment and perform data analysis for many of our clinical trials. These employees work across multiple development programs and, therefore, we do not track their costs by program.</w:t>
      </w:r>
    </w:p>
    <w:p>
      <w:pPr>
        <w:spacing w:after="0" w:line="20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successful development and commercialization of our products or product candidates is highly uncertain. This is due to the numerous risks and uncertainties associated with product development and commercialization, including the uncertainty of:</w:t>
      </w:r>
    </w:p>
    <w:p>
      <w:pPr>
        <w:spacing w:after="0" w:line="200" w:lineRule="exact"/>
        <w:rPr>
          <w:sz w:val="20"/>
          <w:szCs w:val="20"/>
          <w:color w:val="auto"/>
        </w:rPr>
      </w:pPr>
    </w:p>
    <w:p>
      <w:pPr>
        <w:ind w:left="860" w:hanging="363"/>
        <w:spacing w:after="0"/>
        <w:tabs>
          <w:tab w:leader="none" w:pos="86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outcome and costs of our clinical trials and other research and development activities;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terms of any marketing approvals;</w:t>
      </w:r>
    </w:p>
    <w:p>
      <w:pPr>
        <w:spacing w:after="0" w:line="253" w:lineRule="exact"/>
        <w:rPr>
          <w:rFonts w:ascii="Arial" w:cs="Arial" w:eastAsia="Arial" w:hAnsi="Arial"/>
          <w:sz w:val="20"/>
          <w:szCs w:val="20"/>
          <w:color w:val="auto"/>
        </w:rPr>
      </w:pPr>
    </w:p>
    <w:p>
      <w:pPr>
        <w:ind w:left="860" w:right="920" w:hanging="363"/>
        <w:spacing w:after="0" w:line="279" w:lineRule="auto"/>
        <w:tabs>
          <w:tab w:leader="none" w:pos="86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potential advantages of our products or product candidates compared to alternative treatments, including any standard of care;</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acceptance of our products or product candidates; and</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and changing government regulation.</w:t>
      </w:r>
    </w:p>
    <w:p>
      <w:pPr>
        <w:spacing w:after="0" w:line="23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Any changes in the outcome of any of these variables with respect to the development of our product candidates in clinical and preclinical development could mean a significant change in the costs and timing associated with the development of these product candidates. For example, if the FDA or another regulatory authority were to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 We anticipate that our research and development expenses will increase in the future as we support our continued development of our product candidates.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and Marketing Expenses</w:t>
      </w:r>
    </w:p>
    <w:p>
      <w:pPr>
        <w:spacing w:after="0" w:line="236" w:lineRule="exact"/>
        <w:rPr>
          <w:sz w:val="20"/>
          <w:szCs w:val="20"/>
          <w:color w:val="auto"/>
        </w:rPr>
      </w:pPr>
    </w:p>
    <w:p>
      <w:pPr>
        <w:ind w:right="240" w:firstLine="490"/>
        <w:spacing w:after="0" w:line="280" w:lineRule="auto"/>
        <w:rPr>
          <w:sz w:val="20"/>
          <w:szCs w:val="20"/>
          <w:color w:val="auto"/>
        </w:rPr>
      </w:pPr>
      <w:r>
        <w:rPr>
          <w:rFonts w:ascii="Times New Roman" w:cs="Times New Roman" w:eastAsia="Times New Roman" w:hAnsi="Times New Roman"/>
          <w:sz w:val="20"/>
          <w:szCs w:val="20"/>
          <w:color w:val="auto"/>
        </w:rPr>
        <w:t>Selling and marketing expenses consist primarily of salaries and related costs, including stock-based compensation, for personnel in selling and marketing functions as well as consulting, advertising and promotion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6" w:lineRule="exact"/>
        <w:rPr>
          <w:sz w:val="20"/>
          <w:szCs w:val="20"/>
          <w:color w:val="auto"/>
        </w:rPr>
      </w:pPr>
    </w:p>
    <w:p>
      <w:pPr>
        <w:ind w:right="360" w:firstLine="490"/>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related costs, including stock-based compensation, for personnel in executive, finance, information technology, human resources and administrative functions. General and administrative expenses also include insurance, facility-related costs and professional fees for legal, patent, consulting and accounting and audit services.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239" w:lineRule="exact"/>
        <w:rPr>
          <w:sz w:val="20"/>
          <w:szCs w:val="20"/>
          <w:color w:val="auto"/>
        </w:rPr>
      </w:pPr>
    </w:p>
    <w:p>
      <w:pPr>
        <w:ind w:right="240" w:firstLine="490"/>
        <w:spacing w:after="0" w:line="280"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We earn interest income primarily from investments of our cash and cash equivalents in money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funds.</w:t>
      </w:r>
    </w:p>
    <w:p>
      <w:pPr>
        <w:sectPr>
          <w:pgSz w:w="11880" w:h="15480" w:orient="portrait"/>
          <w:cols w:equalWidth="0" w:num="1">
            <w:col w:w="9720"/>
          </w:cols>
          <w:pgMar w:left="1080" w:top="108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9720"/>
          </w:cols>
          <w:pgMar w:left="1080" w:top="1080" w:right="1080" w:bottom="0" w:gutter="0" w:footer="0" w:header="0"/>
          <w:type w:val="continuous"/>
        </w:sectPr>
      </w:pPr>
    </w:p>
    <w:bookmarkStart w:id="120" w:name="page121"/>
    <w:bookmarkEnd w:id="120"/>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auto"/>
        </w:rPr>
        <w:t>Interest Expense</w:t>
      </w:r>
      <w:r>
        <w:rPr>
          <w:rFonts w:ascii="Times New Roman" w:cs="Times New Roman" w:eastAsia="Times New Roman" w:hAnsi="Times New Roman"/>
          <w:sz w:val="20"/>
          <w:szCs w:val="20"/>
          <w:color w:val="auto"/>
        </w:rPr>
        <w:t>. Interest expense is incurred on our debt. In August 2023, we entered into a credit and security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or the Barings Credit Agreement, with Barings Finance LLC, or Barings, as administrative agent, and the lenders party thereto, providing for a secured term loan facility, or the Barings Credit Facility, in the aggregate principal amount of $82.5 million. For the year ended December 31, 2025, our interest-bearing debt included the Barings Credit Facility ($82.5 million outstanding principal). For the year ended December 31, 2024, our interest-bearing debt included the Barings Credit Facility ($82.5 million outstanding principal) and our $37.5 million unsecured senior subordinated convertible notes, or the Convertible Notes ($37.5 million outstanding principal through March 28, 2024, no outstanding principal thereafter). For the year ended December 31, 2023, our interest-bearing debt included the Barings Credit Facility (from August 2, 2023), the Convertible Notes, and our obligations under a credit and security agreement with MidCap Financial Trust, as administrative agent, and other lenders that we entered into in 2014, or, as amended, the MidCap Credit Agreement, establishing a credit facility, or the MidCap Credit Facility ($25.0 million outstanding principal through August 2, 2023, no outstanding principal thereafter).</w:t>
      </w:r>
    </w:p>
    <w:p>
      <w:pPr>
        <w:spacing w:after="0" w:line="20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Change in Fair Value of Derivative Liabilities. </w:t>
      </w:r>
      <w:r>
        <w:rPr>
          <w:rFonts w:ascii="Times New Roman" w:cs="Times New Roman" w:eastAsia="Times New Roman" w:hAnsi="Times New Roman"/>
          <w:sz w:val="20"/>
          <w:szCs w:val="20"/>
          <w:color w:val="auto"/>
        </w:rPr>
        <w:t>In August 2023, in connection with entering into the Barings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Credit Agreement, we identified an embedded derivative liability, or the Royalty Fee Derivative Liability, which we are required to measure at fair value at inception and then at the end of each reporting period until the embedded derivative is settled. In 2019, in connection with the issuance of our Convertible Notes, we identified an embedded derivative liability, or the Conversion Option Derivative Liability, which we are required to measure at fair value at inception and then at the end of each reporting period until the embedded derivative is settled. The settlement of the Conversion Option Derivative Liability occurred on March 28, 2024. The changes in fair value of these derivative liabilities are recorded through the consolidated statements of operations and comprehensive loss and are presented under the caption “change in fair value of derivative liabilities”.</w:t>
      </w:r>
    </w:p>
    <w:p>
      <w:pPr>
        <w:spacing w:after="0" w:line="197"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Gains and Losses from Debt Extinguishment</w:t>
      </w:r>
      <w:r>
        <w:rPr>
          <w:rFonts w:ascii="Times New Roman" w:cs="Times New Roman" w:eastAsia="Times New Roman" w:hAnsi="Times New Roman"/>
          <w:sz w:val="20"/>
          <w:szCs w:val="20"/>
          <w:color w:val="auto"/>
        </w:rPr>
        <w:t>. In March 2024, the holder of the Convertible Notes converted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Convertible Notes. In connection with the conversion, our obligations under the Convertible Notes extinguished, resulting in a non-cash loss on extinguishment. In August 2023, we amended the Convertible Notes and accounted for the amendment, or the Convertible Notes Amendment, as an extinguishment of debt in accordance with the guidance in Accounting Standards Codification Topic 470-50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Application of this accounting standard resulted in a non -cash gain on extinguishment. In August 2023, we also extinguished our obligations under the MidCap Credit Facility, resulting in a non-cash loss on extinguishment.</w:t>
      </w:r>
    </w:p>
    <w:p>
      <w:pPr>
        <w:sectPr>
          <w:pgSz w:w="11880" w:h="15480" w:orient="portrait"/>
          <w:cols w:equalWidth="0" w:num="1">
            <w:col w:w="9660"/>
          </w:cols>
          <w:pgMar w:left="1080" w:top="1064"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9660"/>
          </w:cols>
          <w:pgMar w:left="1080" w:top="1064" w:right="114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Revenue:</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0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0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6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2025 - 2024</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2024 - 2023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Product revenue, net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51,823</w:t>
            </w:r>
          </w:p>
        </w:tc>
        <w:tc>
          <w:tcPr>
            <w:tcW w:w="60" w:type="dxa"/>
            <w:vAlign w:val="bottom"/>
          </w:tcPr>
          <w:p>
            <w:pPr>
              <w:spacing w:after="0"/>
              <w:rPr>
                <w:sz w:val="20"/>
                <w:szCs w:val="20"/>
                <w:color w:val="auto"/>
              </w:rPr>
            </w:pP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57,870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 (11,638)</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Collaboration revenue . . . . . . . . . . . . . . . . . . . .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(311)</w:t>
            </w:r>
          </w:p>
        </w:tc>
        <w:tc>
          <w:tcPr>
            <w:tcW w:w="0" w:type="dxa"/>
            <w:vAlign w:val="bottom"/>
          </w:tcPr>
          <w:p>
            <w:pPr>
              <w:spacing w:after="0"/>
              <w:rPr>
                <w:sz w:val="1"/>
                <w:szCs w:val="1"/>
                <w:color w:val="auto"/>
              </w:rPr>
            </w:pPr>
          </w:p>
        </w:tc>
      </w:tr>
      <w:tr>
        <w:trPr>
          <w:trHeight w:val="220"/>
        </w:trPr>
        <w:tc>
          <w:tcPr>
            <w:tcW w:w="4580" w:type="dxa"/>
            <w:vAlign w:val="bottom"/>
            <w:gridSpan w:val="2"/>
          </w:tcPr>
          <w:p>
            <w:pPr>
              <w:jc w:val="right"/>
              <w:ind w:right="320"/>
              <w:spacing w:after="0" w:line="219" w:lineRule="exact"/>
              <w:rPr>
                <w:sz w:val="20"/>
                <w:szCs w:val="20"/>
                <w:color w:val="auto"/>
              </w:rPr>
            </w:pPr>
            <w:r>
              <w:rPr>
                <w:rFonts w:ascii="Times New Roman" w:cs="Times New Roman" w:eastAsia="Times New Roman" w:hAnsi="Times New Roman"/>
                <w:sz w:val="20"/>
                <w:szCs w:val="20"/>
                <w:color w:val="auto"/>
              </w:rPr>
              <w:t>. . . . . . . . . . . . . . . . . . . .Totalrevenue,net</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51,951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63,723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58,443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(11,772)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8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Costs and operating expenses: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Cost of product revenue . . . . . . . . . . . . . . . . . .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Research and development . . . . . . . . . . . . . . . .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61,055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Selling and marketing . . . . . . . . . . . . . . . . . . . .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40,549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General and administrative . . . . . . . . . . . . . . . . .</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60,653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jc w:val="right"/>
              <w:ind w:right="320"/>
              <w:spacing w:after="0" w:line="219" w:lineRule="exact"/>
              <w:rPr>
                <w:sz w:val="20"/>
                <w:szCs w:val="20"/>
                <w:color w:val="auto"/>
              </w:rPr>
            </w:pPr>
            <w:r>
              <w:rPr>
                <w:rFonts w:ascii="Times New Roman" w:cs="Times New Roman" w:eastAsia="Times New Roman" w:hAnsi="Times New Roman"/>
                <w:sz w:val="20"/>
                <w:szCs w:val="20"/>
                <w:color w:val="auto"/>
              </w:rPr>
              <w:t>. . . . . . .Totalcostsandoperatingexpenses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321,968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235,504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140,825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86,464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94,679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jc w:val="right"/>
              <w:ind w:right="320"/>
              <w:spacing w:after="0" w:line="219" w:lineRule="exact"/>
              <w:rPr>
                <w:sz w:val="20"/>
                <w:szCs w:val="20"/>
                <w:color w:val="auto"/>
              </w:rPr>
            </w:pPr>
            <w:r>
              <w:rPr>
                <w:rFonts w:ascii="Times New Roman" w:cs="Times New Roman" w:eastAsia="Times New Roman" w:hAnsi="Times New Roman"/>
                <w:sz w:val="20"/>
                <w:szCs w:val="20"/>
                <w:color w:val="auto"/>
                <w:w w:val="99"/>
              </w:rPr>
              <w:t>. . . . . . . . . . . . . . . . . . . . . . . . . . .Lossfromoperations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(270,017)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(171,781)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(82,382)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(98,236)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(89,399)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Other income (expense):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Interest income . . . . . . . . . . . . . . . . . . . . . . . . .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(1,927)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Interest expense . . . . . . . . . . . . . . . . . . . . . . . . .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(13,577)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(11,338)</w:t>
            </w: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(2,239)</w:t>
            </w:r>
          </w:p>
        </w:tc>
        <w:tc>
          <w:tcPr>
            <w:tcW w:w="0" w:type="dxa"/>
            <w:vAlign w:val="bottom"/>
          </w:tcPr>
          <w:p>
            <w:pPr>
              <w:spacing w:after="0"/>
              <w:rPr>
                <w:sz w:val="1"/>
                <w:szCs w:val="1"/>
                <w:color w:val="auto"/>
              </w:rPr>
            </w:pPr>
          </w:p>
        </w:tc>
      </w:tr>
      <w:tr>
        <w:trPr>
          <w:trHeight w:val="230"/>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Change in fair value of derivative liabilities . .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(5,188)</w:t>
            </w:r>
          </w:p>
        </w:tc>
        <w:tc>
          <w:tcPr>
            <w:tcW w:w="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Gains and (losses) on extinguishment of debt,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(27,950)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14,190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27,950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(42,140)</w:t>
            </w:r>
          </w:p>
        </w:tc>
        <w:tc>
          <w:tcPr>
            <w:tcW w:w="0" w:type="dxa"/>
            <w:vAlign w:val="bottom"/>
          </w:tcPr>
          <w:p>
            <w:pPr>
              <w:spacing w:after="0"/>
              <w:rPr>
                <w:sz w:val="1"/>
                <w:szCs w:val="1"/>
                <w:color w:val="auto"/>
              </w:rPr>
            </w:pPr>
          </w:p>
        </w:tc>
      </w:tr>
      <w:tr>
        <w:trPr>
          <w:trHeight w:val="230"/>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net . . . . . . . . . . . . . . . . . . . . . . . . . . . . . . . . . . .</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Other gains (expenses) . . . . . . . . . . . . . . . . . . .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jc w:val="right"/>
              <w:ind w:right="320"/>
              <w:spacing w:after="0" w:line="219" w:lineRule="exact"/>
              <w:rPr>
                <w:sz w:val="20"/>
                <w:szCs w:val="20"/>
                <w:color w:val="auto"/>
              </w:rPr>
            </w:pPr>
            <w:r>
              <w:rPr>
                <w:rFonts w:ascii="Times New Roman" w:cs="Times New Roman" w:eastAsia="Times New Roman" w:hAnsi="Times New Roman"/>
                <w:sz w:val="20"/>
                <w:szCs w:val="20"/>
                <w:color w:val="auto"/>
              </w:rPr>
              <w:t>. . . . . . . .Totalotherincome(expense),net</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4,078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(21,725)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1,646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25,803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(23,371)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Net loss. . . . . . . .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(265,939)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(193,506)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(80,736)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 (72,433)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(112,770)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Product Revenue, net</w:t>
      </w:r>
    </w:p>
    <w:p>
      <w:pPr>
        <w:spacing w:after="0" w:line="236" w:lineRule="exact"/>
        <w:rPr>
          <w:sz w:val="20"/>
          <w:szCs w:val="20"/>
          <w:color w:val="auto"/>
        </w:rPr>
      </w:pPr>
    </w:p>
    <w:p>
      <w:pPr>
        <w:jc w:val="both"/>
        <w:ind w:right="240" w:firstLine="489"/>
        <w:spacing w:after="0" w:line="260" w:lineRule="auto"/>
        <w:rPr>
          <w:sz w:val="20"/>
          <w:szCs w:val="20"/>
          <w:color w:val="auto"/>
        </w:rPr>
      </w:pPr>
      <w:r>
        <w:rPr>
          <w:rFonts w:ascii="Times New Roman" w:cs="Times New Roman" w:eastAsia="Times New Roman" w:hAnsi="Times New Roman"/>
          <w:sz w:val="20"/>
          <w:szCs w:val="20"/>
          <w:color w:val="auto"/>
        </w:rPr>
        <w:t>Our product revenue, net was $51.8 million and $63.5 million for the years ended December 31, 2025 and 2024, respectively, reflecting a decrease of $11.6 million year-over-year. All of our product revenue, net, was attributable to sales of DEXTENZA.</w:t>
      </w:r>
    </w:p>
    <w:p>
      <w:pPr>
        <w:spacing w:after="0" w:line="183"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Our total GTN Provisions for the years ended December 31, 2025 and 2024 were 51.6% and 38.5%, respectively, of gross DEXTENZA product sales. We are required to estimate the expected GTN Provisions when we sell DEXTENZA to SDs, ASCs and physicians’ offices and accrue for them at that time. We adjust the OID, a significant component of the GTN Provisions for DEXTENZA from time to time and typically on a quarterly basis as part of our overall pricing strategy. The actual OID amounts are generally determined at the time of resale by SDs or direct sales to ASCs or physicians’ offices by us. Effective January 1, 2026, we increased the OID. The total GTN Provisions for the year ended December 31, 2025 therefore include timing effects related to the increased OID, as the estimated GTN Provisions for units that we sold to SDs during 2025 under the pre-January 2026 OID and that were not sold as In-Market Sales during 2025 will be subject to the increased OID. We expect that GTN Provisions relative to gross DEXTENZA product sales will remain at this increased level, or might increase further, for 2026 and beyond.</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Collaboration Revenue</w:t>
      </w:r>
    </w:p>
    <w:p>
      <w:pPr>
        <w:spacing w:after="0" w:line="236" w:lineRule="exact"/>
        <w:rPr>
          <w:sz w:val="20"/>
          <w:szCs w:val="20"/>
          <w:color w:val="auto"/>
        </w:rPr>
      </w:pPr>
    </w:p>
    <w:p>
      <w:pPr>
        <w:ind w:right="20" w:firstLine="489"/>
        <w:spacing w:after="0" w:line="248" w:lineRule="auto"/>
        <w:rPr>
          <w:sz w:val="20"/>
          <w:szCs w:val="20"/>
          <w:color w:val="auto"/>
        </w:rPr>
      </w:pPr>
      <w:r>
        <w:rPr>
          <w:rFonts w:ascii="Times New Roman" w:cs="Times New Roman" w:eastAsia="Times New Roman" w:hAnsi="Times New Roman"/>
          <w:sz w:val="20"/>
          <w:szCs w:val="20"/>
          <w:color w:val="auto"/>
        </w:rPr>
        <w:t>Our collaboration revenue was $0.1 million and $0.3 million for the years ended December 31, 2025 and 2024, respectively. All of our collaboration revenue was attributable to the performance obligation under our license agreement with AffaMed to conduct a Phase 2 clinical trial of OTX-TIC, which we fully satisfied in 2025. We recognize collaboration revenue based on a cost-to-cost method. We do not expect to recognize additional collaboration revenue for 2026, as we do not expect that the additional performance obligations under our license agreement with AffaMed will be fully or partially satisfied in 2026.</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9720"/>
          </w:cols>
          <w:pgMar w:left="1080" w:top="1062" w:right="1080" w:bottom="0" w:gutter="0" w:footer="0" w:header="0"/>
          <w:type w:val="continuous"/>
        </w:sectPr>
      </w:pPr>
    </w:p>
    <w:bookmarkStart w:id="122" w:name="page123"/>
    <w:bookmarkEnd w:id="122"/>
    <w:p>
      <w:pPr>
        <w:ind w:left="50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gridSpan w:val="5"/>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ind w:right="187"/>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41"/>
              <w:spacing w:after="0" w:line="176"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(in</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61"/>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98"/>
              </w:rPr>
              <w:t>2025 - 2024</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2024 - 2023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w w:val="99"/>
              </w:rPr>
              <w:t>Direct research and development expenses by program:</w:t>
            </w: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gridSpan w:val="2"/>
            <w:vMerge w:val="continue"/>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AXPAXLI for wet AMD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$ 119,608</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57,507</w:t>
            </w:r>
          </w:p>
        </w:tc>
        <w:tc>
          <w:tcPr>
            <w:tcW w:w="20" w:type="dxa"/>
            <w:vAlign w:val="bottom"/>
          </w:tcPr>
          <w:p>
            <w:pPr>
              <w:spacing w:after="0"/>
              <w:rPr>
                <w:sz w:val="20"/>
                <w:szCs w:val="20"/>
                <w:color w:val="auto"/>
              </w:rPr>
            </w:pP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$ 62,101</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$ 48,757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AXPAXLI for NPDR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2,503</w:t>
            </w:r>
          </w:p>
        </w:tc>
        <w:tc>
          <w:tcPr>
            <w:tcW w:w="18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(567)</w:t>
            </w:r>
          </w:p>
        </w:tc>
        <w:tc>
          <w:tcPr>
            <w:tcW w:w="0" w:type="dxa"/>
            <w:vAlign w:val="bottom"/>
          </w:tcPr>
          <w:p>
            <w:pPr>
              <w:spacing w:after="0"/>
              <w:rPr>
                <w:sz w:val="1"/>
                <w:szCs w:val="1"/>
                <w:color w:val="auto"/>
              </w:rPr>
            </w:pPr>
          </w:p>
        </w:tc>
      </w:tr>
      <w:tr>
        <w:trPr>
          <w:trHeight w:val="23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OTX-TIC for OAG or OHT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(1,796)</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(1,269)</w:t>
            </w:r>
          </w:p>
        </w:tc>
        <w:tc>
          <w:tcPr>
            <w:tcW w:w="0" w:type="dxa"/>
            <w:vAlign w:val="bottom"/>
          </w:tcPr>
          <w:p>
            <w:pPr>
              <w:spacing w:after="0"/>
              <w:rPr>
                <w:sz w:val="1"/>
                <w:szCs w:val="1"/>
                <w:color w:val="auto"/>
              </w:rPr>
            </w:pPr>
          </w:p>
        </w:tc>
      </w:tr>
      <w:tr>
        <w:trPr>
          <w:trHeight w:val="230"/>
        </w:trPr>
        <w:tc>
          <w:tcPr>
            <w:tcW w:w="4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DEXTENZA for post-surgical ocular</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inflammation and pain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18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30"/>
        </w:trPr>
        <w:tc>
          <w:tcPr>
            <w:tcW w:w="4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OTX-DED for the short-term treatment of the</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signs and symptoms of dry eye disease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(487)</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r>
        <w:trPr>
          <w:trHeight w:val="230"/>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OTX-CSI for treatment of dry eye disease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230"/>
        </w:trPr>
        <w:tc>
          <w:tcPr>
            <w:tcW w:w="4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DEXTENZA for ocular itching associated with</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allergic conjunctivitis . . . . . . . . . . . . . . . . . . . . . .</w:t>
            </w:r>
          </w:p>
        </w:tc>
        <w:tc>
          <w:tcPr>
            <w:tcW w:w="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Preclinical programs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(844)</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(648)</w:t>
            </w:r>
          </w:p>
        </w:tc>
        <w:tc>
          <w:tcPr>
            <w:tcW w:w="0" w:type="dxa"/>
            <w:vAlign w:val="bottom"/>
          </w:tcPr>
          <w:p>
            <w:pPr>
              <w:spacing w:after="0"/>
              <w:rPr>
                <w:sz w:val="1"/>
                <w:szCs w:val="1"/>
                <w:color w:val="auto"/>
              </w:rPr>
            </w:pPr>
          </w:p>
        </w:tc>
      </w:tr>
      <w:tr>
        <w:trPr>
          <w:trHeight w:val="233"/>
        </w:trPr>
        <w:tc>
          <w:tcPr>
            <w:tcW w:w="4740" w:type="dxa"/>
            <w:vAlign w:val="bottom"/>
          </w:tcPr>
          <w:p>
            <w:pPr>
              <w:jc w:val="right"/>
              <w:ind w:right="2840"/>
              <w:spacing w:after="0"/>
              <w:rPr>
                <w:sz w:val="20"/>
                <w:szCs w:val="20"/>
                <w:color w:val="auto"/>
              </w:rPr>
            </w:pPr>
            <w:r>
              <w:rPr>
                <w:rFonts w:ascii="Times New Roman" w:cs="Times New Roman" w:eastAsia="Times New Roman" w:hAnsi="Times New Roman"/>
                <w:sz w:val="20"/>
                <w:szCs w:val="20"/>
                <w:color w:val="auto"/>
                <w:w w:val="99"/>
              </w:rPr>
              <w:t>Unallocated expenses: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Personnel costs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52,644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27,068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14,826</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All other costs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16,458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14,046</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(7,753)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 . .Totalresearchanddevelopmentexpenses</w:t>
            </w:r>
          </w:p>
        </w:tc>
        <w:tc>
          <w:tcPr>
            <w:tcW w:w="2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$ 197,096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127,635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61,055</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$ 69,461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$ 66,580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80" w:firstLine="490"/>
        <w:spacing w:after="0" w:line="280" w:lineRule="auto"/>
        <w:rPr>
          <w:sz w:val="20"/>
          <w:szCs w:val="20"/>
          <w:color w:val="auto"/>
        </w:rPr>
      </w:pPr>
      <w:r>
        <w:rPr>
          <w:rFonts w:ascii="Times New Roman" w:cs="Times New Roman" w:eastAsia="Times New Roman" w:hAnsi="Times New Roman"/>
          <w:sz w:val="20"/>
          <w:szCs w:val="20"/>
          <w:color w:val="auto"/>
        </w:rPr>
        <w:t>Research and development expenses were $197.1 million and $127.6 million for the years ended December 31, 2025 and 2024, respectively, reflecting an increase of $69.5 million year-over-year.</w:t>
      </w:r>
    </w:p>
    <w:p>
      <w:pPr>
        <w:spacing w:after="0" w:line="124" w:lineRule="exact"/>
        <w:rPr>
          <w:sz w:val="20"/>
          <w:szCs w:val="20"/>
          <w:color w:val="auto"/>
        </w:rPr>
      </w:pPr>
    </w:p>
    <w:p>
      <w:pPr>
        <w:ind w:right="720" w:firstLine="489"/>
        <w:spacing w:after="0" w:line="280" w:lineRule="auto"/>
        <w:rPr>
          <w:sz w:val="20"/>
          <w:szCs w:val="20"/>
          <w:color w:val="auto"/>
        </w:rPr>
      </w:pPr>
      <w:r>
        <w:rPr>
          <w:rFonts w:ascii="Times New Roman" w:cs="Times New Roman" w:eastAsia="Times New Roman" w:hAnsi="Times New Roman"/>
          <w:sz w:val="20"/>
          <w:szCs w:val="20"/>
          <w:color w:val="auto"/>
        </w:rPr>
        <w:t>Within research and development expenses, direct expenses for clinical programs increased $63.2 million, unallocated expenses increased $7.1 million, and expenses for preclinical programs decreased $0.8 million.</w:t>
      </w:r>
    </w:p>
    <w:p>
      <w:pPr>
        <w:spacing w:after="0" w:line="12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2025, we incurred $128.0 million in direct research and development expenses for our products and product candidates compared to $65.6 million for the year ended December 31, 2024. The increase of $62.4 million is related to timing and conduct of our various clinical trials for our product candidates, including the progression of the SOL-1 trial, which was fully randomized by December 2024, the initiation of the SOL-R trial in June 2024 and its progression through 2025, the initiation of the HELIOS-3 trial in the fourth quarter of 2025, the completion of the HELIOS-1 trial in the first half of 2024, and development activities related to our preclinical programs.</w:t>
      </w:r>
    </w:p>
    <w:p>
      <w:pPr>
        <w:spacing w:after="0" w:line="160" w:lineRule="exact"/>
        <w:rPr>
          <w:sz w:val="20"/>
          <w:szCs w:val="20"/>
          <w:color w:val="auto"/>
        </w:rPr>
      </w:pPr>
    </w:p>
    <w:p>
      <w:pPr>
        <w:ind w:right="160" w:firstLine="489"/>
        <w:spacing w:after="0" w:line="250" w:lineRule="auto"/>
        <w:rPr>
          <w:sz w:val="20"/>
          <w:szCs w:val="20"/>
          <w:color w:val="auto"/>
        </w:rPr>
      </w:pPr>
      <w:r>
        <w:rPr>
          <w:rFonts w:ascii="Times New Roman" w:cs="Times New Roman" w:eastAsia="Times New Roman" w:hAnsi="Times New Roman"/>
          <w:sz w:val="20"/>
          <w:szCs w:val="20"/>
          <w:color w:val="auto"/>
        </w:rPr>
        <w:t>We expect that direct research and development expenses for our products and product candidates will remain at this level or increase further for 2026 and beyond as we progress with the SOL-1, SOL-R and HELIOS-3 trials; initiate the planned SOL-X trial in the second quarter of 2026 and, if needed, the HELIOS-2 trial; and scale-up registration-enabling manufacturing activities for AXPAXLI. We expect that personnel costs will continue to increase for 2026 and beyond as we plan to hire additional personnel to support our planned clinical trials and manufacturing scale-up.</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Selling and Marketing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3"/>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174"/>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5"/>
              </w:rPr>
              <w:t>2025 - 2024</w:t>
            </w:r>
          </w:p>
        </w:tc>
        <w:tc>
          <w:tcPr>
            <w:tcW w:w="180" w:type="dxa"/>
            <w:vAlign w:val="bottom"/>
            <w:gridSpan w:val="2"/>
          </w:tcPr>
          <w:p>
            <w:pPr>
              <w:spacing w:after="0"/>
              <w:rPr>
                <w:sz w:val="15"/>
                <w:szCs w:val="15"/>
                <w:color w:val="auto"/>
              </w:rPr>
            </w:pPr>
          </w:p>
        </w:tc>
        <w:tc>
          <w:tcPr>
            <w:tcW w:w="78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2024 - 2023</w:t>
            </w:r>
          </w:p>
        </w:tc>
      </w:tr>
      <w:tr>
        <w:trPr>
          <w:trHeight w:val="152"/>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jc w:val="right"/>
              <w:spacing w:after="0" w:line="152" w:lineRule="exact"/>
              <w:rPr>
                <w:sz w:val="20"/>
                <w:szCs w:val="20"/>
                <w:color w:val="auto"/>
              </w:rPr>
            </w:pPr>
            <w:r>
              <w:rPr>
                <w:rFonts w:ascii="Times New Roman" w:cs="Times New Roman" w:eastAsia="Times New Roman" w:hAnsi="Times New Roman"/>
                <w:sz w:val="16"/>
                <w:szCs w:val="16"/>
                <w:b w:val="1"/>
                <w:bCs w:val="1"/>
                <w:color w:val="auto"/>
                <w:w w:val="94"/>
              </w:rPr>
              <w:t>(in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30"/>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Personnel-related (including stock-based compensation)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33,448</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27,576</w:t>
            </w: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27,434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5,872</w:t>
            </w: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29"/>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Professional fees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w:t>
            </w:r>
          </w:p>
        </w:tc>
      </w:tr>
      <w:tr>
        <w:trPr>
          <w:trHeight w:val="241"/>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Facility-related and other . . . . . . . . . . . . . . . . . . . . . . . . . . .</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6,148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w:t>
            </w:r>
          </w:p>
        </w:tc>
      </w:tr>
      <w:tr>
        <w:trPr>
          <w:trHeight w:val="240"/>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 . . . . . . . . . . .Totalsellingandmarketingexpenses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53,922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40,549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12,332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w:t>
            </w:r>
          </w:p>
        </w:tc>
      </w:tr>
    </w:tbl>
    <w:p>
      <w:pPr>
        <w:spacing w:after="0" w:line="209" w:lineRule="exact"/>
        <w:rPr>
          <w:sz w:val="20"/>
          <w:szCs w:val="20"/>
          <w:color w:val="auto"/>
        </w:rPr>
      </w:pPr>
    </w:p>
    <w:p>
      <w:pPr>
        <w:ind w:right="120" w:firstLine="489"/>
        <w:spacing w:after="0" w:line="280" w:lineRule="auto"/>
        <w:rPr>
          <w:sz w:val="20"/>
          <w:szCs w:val="20"/>
          <w:color w:val="auto"/>
        </w:rPr>
      </w:pPr>
      <w:r>
        <w:rPr>
          <w:rFonts w:ascii="Times New Roman" w:cs="Times New Roman" w:eastAsia="Times New Roman" w:hAnsi="Times New Roman"/>
          <w:sz w:val="20"/>
          <w:szCs w:val="20"/>
          <w:color w:val="auto"/>
        </w:rPr>
        <w:t>Selling and marketing expenses were $53.9 million and $41.6 million for the years ended December 31, 2025 and 2024, respectively, reflecting an increase of $12.3 million year-over-year.</w:t>
      </w:r>
    </w:p>
    <w:p>
      <w:pPr>
        <w:spacing w:after="0" w:line="163" w:lineRule="exact"/>
        <w:rPr>
          <w:sz w:val="20"/>
          <w:szCs w:val="20"/>
          <w:color w:val="auto"/>
        </w:rPr>
      </w:pPr>
    </w:p>
    <w:p>
      <w:pPr>
        <w:ind w:right="460" w:firstLine="490"/>
        <w:spacing w:after="0" w:line="308" w:lineRule="auto"/>
        <w:rPr>
          <w:sz w:val="20"/>
          <w:szCs w:val="20"/>
          <w:color w:val="auto"/>
        </w:rPr>
      </w:pPr>
      <w:r>
        <w:rPr>
          <w:rFonts w:ascii="Times New Roman" w:cs="Times New Roman" w:eastAsia="Times New Roman" w:hAnsi="Times New Roman"/>
          <w:sz w:val="19"/>
          <w:szCs w:val="19"/>
          <w:color w:val="auto"/>
        </w:rPr>
        <w:t>The increase was primarily due to an increase in personnel costs, including stock-based compensation of $5.9 million, primarily related to the expansion of our commercial team for AXPAXLI, an increase in $5.4 million in</w:t>
      </w:r>
    </w:p>
    <w:p>
      <w:pPr>
        <w:sectPr>
          <w:pgSz w:w="11880" w:h="15480" w:orient="portrait"/>
          <w:cols w:equalWidth="0" w:num="1">
            <w:col w:w="9720"/>
          </w:cols>
          <w:pgMar w:left="1080" w:top="1069" w:right="108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9720"/>
          </w:cols>
          <w:pgMar w:left="1080" w:top="1069" w:right="1080" w:bottom="0" w:gutter="0" w:footer="0" w:header="0"/>
          <w:type w:val="continuous"/>
        </w:sectPr>
      </w:pPr>
    </w:p>
    <w:bookmarkStart w:id="123" w:name="page124"/>
    <w:bookmarkEnd w:id="123"/>
    <w:p>
      <w:pPr>
        <w:ind w:right="420"/>
        <w:spacing w:after="0" w:line="280" w:lineRule="auto"/>
        <w:rPr>
          <w:sz w:val="20"/>
          <w:szCs w:val="20"/>
          <w:color w:val="auto"/>
        </w:rPr>
      </w:pPr>
      <w:r>
        <w:rPr>
          <w:rFonts w:ascii="Times New Roman" w:cs="Times New Roman" w:eastAsia="Times New Roman" w:hAnsi="Times New Roman"/>
          <w:sz w:val="20"/>
          <w:szCs w:val="20"/>
          <w:color w:val="auto"/>
        </w:rPr>
        <w:t>professional fees, including costs related to corporate branding and pre-commercial activities for AXPAXLI, and an increase in other costs of $1.0 million.</w:t>
      </w:r>
    </w:p>
    <w:p>
      <w:pPr>
        <w:spacing w:after="0" w:line="164"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auto"/>
        </w:rPr>
        <w:t>We expect our selling and marketing expenses to increase for 2026 and beyond as we invest in marketing-related activities in connection with the potential commercial launch of AXPAXLI, ongoing corporate branding, and as we continue to support the commercialization of DEXTENZA.</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174"/>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4"/>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2025 - 2024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w w:val="98"/>
              </w:rPr>
              <w:t>2024 - 2023</w:t>
            </w:r>
          </w:p>
        </w:tc>
      </w:tr>
      <w:tr>
        <w:trPr>
          <w:trHeight w:val="152"/>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82"/>
              </w:rPr>
              <w:t>(in thousands)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30"/>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Personnel-related (including stock-based compensation)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40,273</w:t>
            </w:r>
          </w:p>
        </w:tc>
        <w:tc>
          <w:tcPr>
            <w:tcW w:w="80" w:type="dxa"/>
            <w:vAlign w:val="bottom"/>
          </w:tcPr>
          <w:p>
            <w:pPr>
              <w:spacing w:after="0"/>
              <w:rPr>
                <w:sz w:val="20"/>
                <w:szCs w:val="20"/>
                <w:color w:val="auto"/>
              </w:rPr>
            </w:pP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18,917</w:t>
            </w:r>
          </w:p>
        </w:tc>
      </w:tr>
      <w:tr>
        <w:trPr>
          <w:trHeight w:val="229"/>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Professional fees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4,747</w:t>
            </w:r>
          </w:p>
        </w:tc>
      </w:tr>
      <w:tr>
        <w:trPr>
          <w:trHeight w:val="241"/>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Facility-related and other . . . . . . . . . . . . . . . . . . . . . . . . . . .</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3,049</w:t>
            </w:r>
          </w:p>
        </w:tc>
      </w:tr>
      <w:tr>
        <w:trPr>
          <w:trHeight w:val="240"/>
        </w:trPr>
        <w:tc>
          <w:tcPr>
            <w:tcW w:w="49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 . . . . . . .Totalgeneralandadministrativeexpenses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64,376</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33,940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26,713</w:t>
            </w:r>
          </w:p>
        </w:tc>
      </w:tr>
    </w:tbl>
    <w:p>
      <w:pPr>
        <w:spacing w:after="0" w:line="209" w:lineRule="exact"/>
        <w:rPr>
          <w:sz w:val="20"/>
          <w:szCs w:val="20"/>
          <w:color w:val="auto"/>
        </w:rPr>
      </w:pPr>
    </w:p>
    <w:p>
      <w:pPr>
        <w:ind w:right="60" w:firstLine="49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were $64.4 million and $60.7 million for the years ended December 31, 2025 and 2024, respectively, reflecting an increase of $3.7 million year-over-year.</w:t>
      </w:r>
    </w:p>
    <w:p>
      <w:pPr>
        <w:spacing w:after="0" w:line="163" w:lineRule="exact"/>
        <w:rPr>
          <w:sz w:val="20"/>
          <w:szCs w:val="20"/>
          <w:color w:val="auto"/>
        </w:rPr>
      </w:pPr>
    </w:p>
    <w:p>
      <w:pPr>
        <w:ind w:right="200" w:firstLine="490"/>
        <w:spacing w:after="0" w:line="250" w:lineRule="auto"/>
        <w:rPr>
          <w:sz w:val="20"/>
          <w:szCs w:val="20"/>
          <w:color w:val="auto"/>
        </w:rPr>
      </w:pPr>
      <w:r>
        <w:rPr>
          <w:rFonts w:ascii="Times New Roman" w:cs="Times New Roman" w:eastAsia="Times New Roman" w:hAnsi="Times New Roman"/>
          <w:sz w:val="20"/>
          <w:szCs w:val="20"/>
          <w:color w:val="auto"/>
        </w:rPr>
        <w:t>The increase was primarily due to an increase of $3.0 million in personnel-related costs including stock-based compensation, and an increase of $2.1 million in facility-related and other costs, including IT, partially offset by a decrease in professional fees of $1.4 million. Personnel-related costs, including stock -based compensation, for the year ended December 31, 2025 include $ 1.5 million related to acceleration of stock-based compensation for former executives who departed during the years ended December 31, 2025 and 2024.</w:t>
      </w:r>
    </w:p>
    <w:p>
      <w:pPr>
        <w:spacing w:after="0" w:line="19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In the year ended December 31, 2024, we executed and completed a strategic reduction in force as part of an initiative to prioritize our resources on the clinical development of AXPAXLI for wet AMD, or the Strategic Restructuring Personnel-related costs, including stock-based compensation, for the year ended December 31, 2024 include $1.6 million related to wages, severance, and other benefits under the Strategic Restructuring, and $9.3 million related to accrued severance and acceleration of stock-based compensation for certain former members of our senior leadership team who departed during the year ended December 31, 2024 separate from the Strategic Restructuring, including our former Chief Executive Officer, our former Chief Business Officer, and our former Chief Medical Officer.</w:t>
      </w:r>
    </w:p>
    <w:p>
      <w:pPr>
        <w:spacing w:after="0" w:line="201" w:lineRule="exact"/>
        <w:rPr>
          <w:sz w:val="20"/>
          <w:szCs w:val="20"/>
          <w:color w:val="auto"/>
        </w:rPr>
      </w:pPr>
    </w:p>
    <w:p>
      <w:pPr>
        <w:ind w:right="20" w:firstLine="489"/>
        <w:spacing w:after="0" w:line="253"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for 2026 and beyond, as we continue to further strengthen certain functions and processes that support our clinical trials of AXPAXLI, including the SOL-1 trial, the SOL-R trial, the HELIOS-3 trial, and the planned SOL-X trial, manufacturing scale-up and potential commercial launch initiatives for AXPAXLI.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36" w:lineRule="exact"/>
        <w:rPr>
          <w:sz w:val="20"/>
          <w:szCs w:val="20"/>
          <w:color w:val="auto"/>
        </w:rPr>
      </w:pPr>
    </w:p>
    <w:p>
      <w:pPr>
        <w:jc w:val="both"/>
        <w:ind w:right="100" w:firstLine="490"/>
        <w:spacing w:after="0" w:line="260" w:lineRule="auto"/>
        <w:rPr>
          <w:sz w:val="20"/>
          <w:szCs w:val="20"/>
          <w:color w:val="auto"/>
        </w:rPr>
      </w:pPr>
      <w:r>
        <w:rPr>
          <w:rFonts w:ascii="Times New Roman" w:cs="Times New Roman" w:eastAsia="Times New Roman" w:hAnsi="Times New Roman"/>
          <w:sz w:val="20"/>
          <w:szCs w:val="20"/>
          <w:i w:val="1"/>
          <w:iCs w:val="1"/>
          <w:color w:val="auto"/>
        </w:rPr>
        <w:t>Interest Income</w:t>
      </w:r>
      <w:r>
        <w:rPr>
          <w:rFonts w:ascii="Times New Roman" w:cs="Times New Roman" w:eastAsia="Times New Roman" w:hAnsi="Times New Roman"/>
          <w:sz w:val="20"/>
          <w:szCs w:val="20"/>
          <w:color w:val="auto"/>
        </w:rPr>
        <w:t>. Interest income was $18.4 million and $20.3 million for the years ended December 31, 2025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respectively, reflecting a decrease of $1.9 million year-over-year. The decrease is attributable primarily to a lower average balance of interest-generating cash and cash equivalents.</w:t>
      </w:r>
    </w:p>
    <w:p>
      <w:pPr>
        <w:spacing w:after="0" w:line="162"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20"/>
          <w:szCs w:val="20"/>
          <w:i w:val="1"/>
          <w:iCs w:val="1"/>
          <w:color w:val="auto"/>
        </w:rPr>
        <w:t>Interest Expense</w:t>
      </w:r>
      <w:r>
        <w:rPr>
          <w:rFonts w:ascii="Times New Roman" w:cs="Times New Roman" w:eastAsia="Times New Roman" w:hAnsi="Times New Roman"/>
          <w:sz w:val="20"/>
          <w:szCs w:val="20"/>
          <w:color w:val="auto"/>
        </w:rPr>
        <w:t>. Interest expense was $11.8 million and $13.6 million for the years ended December 31, 2025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respectively, reflecting a decrease of $1.7 million year-over-year. The decrease is primarily due to lower average balances of debt outstanding as a result of the conversion of the Convertible Notes of $37.5 million in March 2024.</w:t>
      </w:r>
    </w:p>
    <w:p>
      <w:pPr>
        <w:spacing w:after="0" w:line="163"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Change in Fair Value of Derivative Liabilities. </w:t>
      </w:r>
      <w:r>
        <w:rPr>
          <w:rFonts w:ascii="Times New Roman" w:cs="Times New Roman" w:eastAsia="Times New Roman" w:hAnsi="Times New Roman"/>
          <w:sz w:val="20"/>
          <w:szCs w:val="20"/>
          <w:color w:val="auto"/>
        </w:rPr>
        <w:t>We recognized a net loss from the change in fair values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derivative liabilities of $2.5 million for the year ended December 31, 2025, compared to a net loss of $0.5 million for the year ended December 31, 2024. The net loss for the year ended December 31, 2025 was comprised of a loss of $ 0.7 million from the change in the fair value of the Royalty Fee Derivative Liability, and an expense of $ 1.8 million related to royalty fees under the Barings Credit Agreement that we paid or accrued. The net loss for the year ended December 31, 2024 comprises of a gain of $2.6 million from the change in the fair value of the Conversion Option Derivative</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9720"/>
          </w:cols>
          <w:pgMar w:left="1080" w:top="1064" w:right="1080" w:bottom="0" w:gutter="0" w:footer="0" w:header="0"/>
          <w:type w:val="continuous"/>
        </w:sectPr>
      </w:pPr>
    </w:p>
    <w:bookmarkStart w:id="124" w:name="page125"/>
    <w:bookmarkEnd w:id="124"/>
    <w:p>
      <w:pPr>
        <w:ind w:right="280" w:firstLine="490"/>
        <w:spacing w:after="0" w:line="280" w:lineRule="auto"/>
        <w:rPr>
          <w:sz w:val="20"/>
          <w:szCs w:val="20"/>
          <w:color w:val="auto"/>
        </w:rPr>
      </w:pPr>
      <w:r>
        <w:rPr>
          <w:rFonts w:ascii="Times New Roman" w:cs="Times New Roman" w:eastAsia="Times New Roman" w:hAnsi="Times New Roman"/>
          <w:sz w:val="20"/>
          <w:szCs w:val="20"/>
          <w:color w:val="auto"/>
        </w:rPr>
        <w:t>Liability, a loss of $0.9 million from the change in the fair value of the Royalty Fee Derivative Liability, and an expense of $2.2 million related to royalty fees under the Barings Credit Agreement that we paid or accrued.</w:t>
      </w:r>
    </w:p>
    <w:p>
      <w:pPr>
        <w:spacing w:after="0" w:line="164" w:lineRule="exact"/>
        <w:rPr>
          <w:sz w:val="20"/>
          <w:szCs w:val="20"/>
          <w:color w:val="auto"/>
        </w:rPr>
      </w:pPr>
    </w:p>
    <w:p>
      <w:pPr>
        <w:ind w:right="300" w:firstLine="49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Gains and Losses on Extinguishment of Debt, Net. </w:t>
      </w:r>
      <w:r>
        <w:rPr>
          <w:rFonts w:ascii="Times New Roman" w:cs="Times New Roman" w:eastAsia="Times New Roman" w:hAnsi="Times New Roman"/>
          <w:sz w:val="20"/>
          <w:szCs w:val="20"/>
          <w:color w:val="auto"/>
        </w:rPr>
        <w:t>We recognized a non-cash loss on extinguishment of debt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$28.0 million for the year ended December 31, 2024, resulting from the conversion of the Convertible Notes in March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Comparison of the Years Ended December 31, 2024 and 2023</w:t>
      </w:r>
    </w:p>
    <w:p>
      <w:pPr>
        <w:spacing w:after="0" w:line="236" w:lineRule="exact"/>
        <w:rPr>
          <w:sz w:val="20"/>
          <w:szCs w:val="20"/>
          <w:color w:val="auto"/>
        </w:rPr>
      </w:pPr>
    </w:p>
    <w:p>
      <w:pPr>
        <w:ind w:right="240" w:firstLine="490"/>
        <w:spacing w:after="0" w:line="250" w:lineRule="auto"/>
        <w:rPr>
          <w:sz w:val="20"/>
          <w:szCs w:val="20"/>
          <w:color w:val="auto"/>
        </w:rPr>
      </w:pPr>
      <w:r>
        <w:rPr>
          <w:rFonts w:ascii="Times New Roman" w:cs="Times New Roman" w:eastAsia="Times New Roman" w:hAnsi="Times New Roman"/>
          <w:sz w:val="20"/>
          <w:szCs w:val="20"/>
          <w:color w:val="auto"/>
        </w:rPr>
        <w:t>A discussion of changes in our results of operations during the year ended December 31, 2024 compared to the year ended December 31, 2023 has been omitted from this Annual Report on Form 10-K but may be found in “Item 7. Management’s Discussion and Analysis of Financial Condition and Results of Operations” in our Annual Report on Form 10-K for the year ended December 31, 2024, filed with the SEC on March 3, 2025, which discussion is incorporated herein by reference and which is available free of charge on the SECs website at www.sec.gov.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37" w:lineRule="exact"/>
        <w:rPr>
          <w:sz w:val="20"/>
          <w:szCs w:val="20"/>
          <w:color w:val="auto"/>
        </w:rPr>
      </w:pPr>
    </w:p>
    <w:p>
      <w:pPr>
        <w:ind w:right="60" w:firstLine="490"/>
        <w:spacing w:after="0" w:line="260" w:lineRule="auto"/>
        <w:rPr>
          <w:sz w:val="20"/>
          <w:szCs w:val="20"/>
          <w:color w:val="auto"/>
        </w:rPr>
      </w:pPr>
      <w:r>
        <w:rPr>
          <w:rFonts w:ascii="Times New Roman" w:cs="Times New Roman" w:eastAsia="Times New Roman" w:hAnsi="Times New Roman"/>
          <w:sz w:val="20"/>
          <w:szCs w:val="20"/>
          <w:color w:val="auto"/>
        </w:rPr>
        <w:t>We have financed our operations primarily through private placements of our preferred stock, public offerings and private placements of our common stock and pre-funded warrants to purchase our common stock, borrowings under credit facilities, the private placements of our convertible notes, and sales of our products.</w:t>
      </w:r>
    </w:p>
    <w:p>
      <w:pPr>
        <w:spacing w:after="0" w:line="183" w:lineRule="exact"/>
        <w:rPr>
          <w:sz w:val="20"/>
          <w:szCs w:val="20"/>
          <w:color w:val="auto"/>
        </w:rPr>
      </w:pPr>
    </w:p>
    <w:p>
      <w:pPr>
        <w:ind w:right="20" w:firstLine="490"/>
        <w:spacing w:after="0" w:line="280" w:lineRule="auto"/>
        <w:rPr>
          <w:sz w:val="20"/>
          <w:szCs w:val="20"/>
          <w:color w:val="auto"/>
        </w:rPr>
      </w:pPr>
      <w:r>
        <w:rPr>
          <w:rFonts w:ascii="Times New Roman" w:cs="Times New Roman" w:eastAsia="Times New Roman" w:hAnsi="Times New Roman"/>
          <w:sz w:val="20"/>
          <w:szCs w:val="20"/>
          <w:color w:val="auto"/>
        </w:rPr>
        <w:t>As of December 31, 2025, we had cash and cash equivalents of $737.1 million, and outstanding notes payable with a principal amount of $82.5 million par value under the Barings Credit Facility.</w:t>
      </w:r>
    </w:p>
    <w:p>
      <w:pPr>
        <w:spacing w:after="0" w:line="163" w:lineRule="exact"/>
        <w:rPr>
          <w:sz w:val="20"/>
          <w:szCs w:val="20"/>
          <w:color w:val="auto"/>
        </w:rPr>
      </w:pPr>
    </w:p>
    <w:p>
      <w:pPr>
        <w:jc w:val="both"/>
        <w:ind w:right="100" w:firstLine="490"/>
        <w:spacing w:after="0" w:line="260" w:lineRule="auto"/>
        <w:rPr>
          <w:sz w:val="20"/>
          <w:szCs w:val="20"/>
          <w:color w:val="auto"/>
        </w:rPr>
      </w:pPr>
      <w:r>
        <w:rPr>
          <w:rFonts w:ascii="Times New Roman" w:cs="Times New Roman" w:eastAsia="Times New Roman" w:hAnsi="Times New Roman"/>
          <w:sz w:val="20"/>
          <w:szCs w:val="20"/>
          <w:color w:val="auto"/>
        </w:rPr>
        <w:t>In October 2025, we completed the sale of 37,909,018 shares of our common stock pursuant to the 2025 Offering, resulting in net proceeds to us of $445.6 million after deducting underwriting discounts and commissions and estimated other offering expenses.</w:t>
      </w:r>
    </w:p>
    <w:p>
      <w:pPr>
        <w:spacing w:after="0" w:line="183" w:lineRule="exact"/>
        <w:rPr>
          <w:sz w:val="20"/>
          <w:szCs w:val="20"/>
          <w:color w:val="auto"/>
        </w:rPr>
      </w:pPr>
    </w:p>
    <w:p>
      <w:pPr>
        <w:ind w:right="120" w:firstLine="490"/>
        <w:spacing w:after="0" w:line="248" w:lineRule="auto"/>
        <w:rPr>
          <w:sz w:val="20"/>
          <w:szCs w:val="20"/>
          <w:color w:val="auto"/>
        </w:rPr>
      </w:pPr>
      <w:r>
        <w:rPr>
          <w:rFonts w:ascii="Times New Roman" w:cs="Times New Roman" w:eastAsia="Times New Roman" w:hAnsi="Times New Roman"/>
          <w:sz w:val="20"/>
          <w:szCs w:val="20"/>
          <w:color w:val="auto"/>
        </w:rPr>
        <w:t>In August 2021, we entered into an Open Market Sale Agreement, or the 2021 Sales Agreement, with Jefferies LLC, or Jefferies, under which we may offer and sell shares of our common stock from time to time through Jefferies, acting as agent. In November 2023, we filed a prospectus in connection with the 2021 Sales Agreement for the issuance and sale of common stock having an aggregate offering price of up to $100.0 million thereunder. In June 2025, we sold 11,548,364 shares of our common stock under the 2021 Sales Agreement, resulting in gross proceeds to us of $96.8 million and net proceeds, after accounting for issuance costs, of $94.0 million.</w:t>
      </w:r>
    </w:p>
    <w:p>
      <w:pPr>
        <w:spacing w:after="0" w:line="194"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20"/>
          <w:szCs w:val="20"/>
          <w:color w:val="auto"/>
        </w:rPr>
        <w:t>In February 2024, we sold 32,413,560 shares of our common stock at $7.52 per share and, in lieu of common stock to certain investors, pre-funded warrants to purchase up to an aggregate of 10,805,957 shares of our common stock at a price of $7.519 per pre-funded warrant for total net proceeds of approximately $316.4 million, after deducting placement agent fees and other offering expenses, in a private placement. Each pre-funded warrant that remains outstanding has an exercise price of $0.001 per share, is currently exercisable and will remain exercisable until exercised in full.</w:t>
      </w:r>
    </w:p>
    <w:p>
      <w:pPr>
        <w:spacing w:after="0" w:line="192" w:lineRule="exact"/>
        <w:rPr>
          <w:sz w:val="20"/>
          <w:szCs w:val="20"/>
          <w:color w:val="auto"/>
        </w:rPr>
      </w:pPr>
    </w:p>
    <w:p>
      <w:pPr>
        <w:jc w:val="both"/>
        <w:ind w:right="120" w:firstLine="490"/>
        <w:spacing w:after="0" w:line="260" w:lineRule="auto"/>
        <w:rPr>
          <w:sz w:val="20"/>
          <w:szCs w:val="20"/>
          <w:color w:val="auto"/>
        </w:rPr>
      </w:pPr>
      <w:r>
        <w:rPr>
          <w:rFonts w:ascii="Times New Roman" w:cs="Times New Roman" w:eastAsia="Times New Roman" w:hAnsi="Times New Roman"/>
          <w:sz w:val="20"/>
          <w:szCs w:val="20"/>
          <w:color w:val="auto"/>
        </w:rPr>
        <w:t>In December 2023, we sold 35,420,000 shares of our common stock in an underwritten public offering at a public offering price of $3.25 per share. The total net proceeds of the public offering to us were approximately $107.7 million, after deducting underwriting discounts and commissions and other offering expenses payable by us.</w:t>
      </w:r>
    </w:p>
    <w:p>
      <w:pPr>
        <w:spacing w:after="0" w:line="183"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In August 2023, we borrowed $82.5 million under the Barings Credit Facility and received proceeds of $77.3 million, after the application of an original issue discount and fees. In connection with entering the Barings Credit Facility, in August 2023, we paid MidCap Financial Trust, as administrative agent, and our other lenders an aggregate of $26.2 million in satisfaction of our obligations under the MidCap Credit 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39" w:lineRule="exact"/>
        <w:rPr>
          <w:sz w:val="20"/>
          <w:szCs w:val="20"/>
          <w:color w:val="auto"/>
        </w:rPr>
      </w:pPr>
    </w:p>
    <w:p>
      <w:pPr>
        <w:jc w:val="both"/>
        <w:ind w:right="240" w:firstLine="489"/>
        <w:spacing w:after="0" w:line="259" w:lineRule="auto"/>
        <w:rPr>
          <w:sz w:val="20"/>
          <w:szCs w:val="20"/>
          <w:color w:val="auto"/>
        </w:rPr>
      </w:pPr>
      <w:r>
        <w:rPr>
          <w:rFonts w:ascii="Times New Roman" w:cs="Times New Roman" w:eastAsia="Times New Roman" w:hAnsi="Times New Roman"/>
          <w:sz w:val="20"/>
          <w:szCs w:val="20"/>
          <w:color w:val="auto"/>
        </w:rPr>
        <w:t>We have a history of incurring significant operating losses. Our net losses were $265.9 million, $193.5 million, and $80.7 million for the years ended December 31, 2025, 2024 and 2023, respectively. As of December 31, 2025, we had an accumulated deficit of $1,157.0 million.</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9720"/>
          </w:cols>
          <w:pgMar w:left="1080" w:top="1064" w:right="1080" w:bottom="0" w:gutter="0" w:footer="0" w:header="0"/>
          <w:type w:val="continuous"/>
        </w:sectPr>
      </w:pPr>
    </w:p>
    <w:bookmarkStart w:id="125" w:name="page126"/>
    <w:bookmarkEnd w:id="125"/>
    <w:p>
      <w:pPr>
        <w:ind w:firstLine="489"/>
        <w:spacing w:after="0" w:line="250" w:lineRule="auto"/>
        <w:rPr>
          <w:sz w:val="20"/>
          <w:szCs w:val="20"/>
          <w:color w:val="auto"/>
        </w:rPr>
      </w:pPr>
      <w:r>
        <w:rPr>
          <w:rFonts w:ascii="Times New Roman" w:cs="Times New Roman" w:eastAsia="Times New Roman" w:hAnsi="Times New Roman"/>
          <w:sz w:val="20"/>
          <w:szCs w:val="20"/>
          <w:color w:val="auto"/>
        </w:rPr>
        <w:t>We expect to continue to incur losses in connection with our ongoing activities, particularly as we advance the clinical trials of our product candidates in development, specifically the SOL-1, SOL-R and HELIOS-3 trials, as we initiate new clinical trials, specifically the planned SOL-X trial and, if needed, the HELIOS-2 trial, and as we support the commercialization of DEXTENZA and the potential commercialization of our product candidates, subject to receiving FDA approval.</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anticipate we will incur substantial expenses if and as we:</w:t>
      </w:r>
    </w:p>
    <w:p>
      <w:pPr>
        <w:spacing w:after="0" w:line="254" w:lineRule="exact"/>
        <w:rPr>
          <w:sz w:val="20"/>
          <w:szCs w:val="20"/>
          <w:color w:val="auto"/>
        </w:rPr>
      </w:pPr>
    </w:p>
    <w:p>
      <w:pPr>
        <w:ind w:left="860" w:right="80" w:hanging="363"/>
        <w:spacing w:after="0" w:line="260" w:lineRule="auto"/>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ongoing registrational programs, including the SOL registrational program of AXPAXLI for the treatment of wet AMD, and the HELIOS registrational program of AXPAXLI for the treatment of diabetic retinal disease, including NPDR;</w:t>
      </w:r>
    </w:p>
    <w:p>
      <w:pPr>
        <w:spacing w:after="0" w:line="197" w:lineRule="exact"/>
        <w:rPr>
          <w:rFonts w:ascii="Arial" w:cs="Arial" w:eastAsia="Arial" w:hAnsi="Arial"/>
          <w:sz w:val="20"/>
          <w:szCs w:val="20"/>
          <w:color w:val="auto"/>
        </w:rPr>
      </w:pPr>
    </w:p>
    <w:p>
      <w:pPr>
        <w:ind w:left="860" w:hanging="363"/>
        <w:spacing w:after="0"/>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initiate our planned SOL-X trial, our long-term extension study of AXPAXLI for the treatment of wet AMD;</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any additional clinical trials we might determine in the future to conduct for our product candidates;</w:t>
      </w:r>
    </w:p>
    <w:p>
      <w:pPr>
        <w:spacing w:after="0" w:line="252" w:lineRule="exact"/>
        <w:rPr>
          <w:rFonts w:ascii="Arial" w:cs="Arial" w:eastAsia="Arial" w:hAnsi="Arial"/>
          <w:sz w:val="20"/>
          <w:szCs w:val="20"/>
          <w:color w:val="auto"/>
        </w:rPr>
      </w:pPr>
    </w:p>
    <w:p>
      <w:pPr>
        <w:ind w:left="860" w:right="160" w:hanging="363"/>
        <w:spacing w:after="0" w:line="253" w:lineRule="auto"/>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scale up our manufacturing processes and capabilities to support sales of commercial products, clinical trials of our product candidates, including AXPAXLI, and commercialization of any of our product candidates for which we obtain marketing approval, and expand our facilities to accommodate this scale up and any corresponding growth in personnel;</w:t>
      </w:r>
    </w:p>
    <w:p>
      <w:pPr>
        <w:spacing w:after="0" w:line="204" w:lineRule="exact"/>
        <w:rPr>
          <w:rFonts w:ascii="Arial" w:cs="Arial" w:eastAsia="Arial" w:hAnsi="Arial"/>
          <w:sz w:val="20"/>
          <w:szCs w:val="20"/>
          <w:color w:val="auto"/>
        </w:rPr>
      </w:pPr>
    </w:p>
    <w:p>
      <w:pPr>
        <w:ind w:left="860" w:right="360" w:hanging="363"/>
        <w:spacing w:after="0" w:line="279" w:lineRule="auto"/>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scale up our sales, marketing and distribution capabilities to prepare for commercialization of any product candidates for which we intend to obtain marketing approval;</w:t>
      </w:r>
    </w:p>
    <w:p>
      <w:pPr>
        <w:spacing w:after="0" w:line="178" w:lineRule="exact"/>
        <w:rPr>
          <w:rFonts w:ascii="Arial" w:cs="Arial" w:eastAsia="Arial" w:hAnsi="Arial"/>
          <w:sz w:val="20"/>
          <w:szCs w:val="20"/>
          <w:color w:val="auto"/>
        </w:rPr>
      </w:pPr>
    </w:p>
    <w:p>
      <w:pPr>
        <w:ind w:left="860" w:right="680" w:hanging="363"/>
        <w:spacing w:after="0" w:line="279" w:lineRule="auto"/>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monitor subjects according to the applicable clinical trial protocols, or prepare submission documentation such as clinical study reports, for our clinical trials that have been completed;</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seek marketing approvals for any of our product candidates that successfully complete clinical development;</w:t>
      </w:r>
    </w:p>
    <w:p>
      <w:pPr>
        <w:spacing w:after="0" w:line="253" w:lineRule="exact"/>
        <w:rPr>
          <w:rFonts w:ascii="Arial" w:cs="Arial" w:eastAsia="Arial" w:hAnsi="Arial"/>
          <w:sz w:val="20"/>
          <w:szCs w:val="20"/>
          <w:color w:val="auto"/>
        </w:rPr>
      </w:pPr>
    </w:p>
    <w:p>
      <w:pPr>
        <w:ind w:left="860" w:hanging="363"/>
        <w:spacing w:after="0"/>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commercialize DEXTENZA in the United States;</w:t>
      </w:r>
    </w:p>
    <w:p>
      <w:pPr>
        <w:spacing w:after="0" w:line="252" w:lineRule="exact"/>
        <w:rPr>
          <w:rFonts w:ascii="Arial" w:cs="Arial" w:eastAsia="Arial" w:hAnsi="Arial"/>
          <w:sz w:val="20"/>
          <w:szCs w:val="20"/>
          <w:color w:val="auto"/>
        </w:rPr>
      </w:pPr>
    </w:p>
    <w:p>
      <w:pPr>
        <w:ind w:left="860" w:hanging="363"/>
        <w:spacing w:after="0"/>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252" w:lineRule="exact"/>
        <w:rPr>
          <w:rFonts w:ascii="Arial" w:cs="Arial" w:eastAsia="Arial" w:hAnsi="Arial"/>
          <w:sz w:val="20"/>
          <w:szCs w:val="20"/>
          <w:color w:val="auto"/>
        </w:rPr>
      </w:pPr>
    </w:p>
    <w:p>
      <w:pPr>
        <w:ind w:left="860" w:right="160" w:hanging="363"/>
        <w:spacing w:after="0" w:line="307" w:lineRule="auto"/>
        <w:tabs>
          <w:tab w:leader="none" w:pos="86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expand our operational, quality assurance, financial, administrative and management systems and personnel, including personnel to support our clinical development, manufacturing and commercialization efforts;</w:t>
      </w:r>
    </w:p>
    <w:p>
      <w:pPr>
        <w:spacing w:after="0" w:line="155" w:lineRule="exact"/>
        <w:rPr>
          <w:rFonts w:ascii="Arial" w:cs="Arial" w:eastAsia="Arial" w:hAnsi="Arial"/>
          <w:sz w:val="19"/>
          <w:szCs w:val="19"/>
          <w:color w:val="auto"/>
        </w:rPr>
      </w:pPr>
    </w:p>
    <w:p>
      <w:pPr>
        <w:ind w:left="860" w:hanging="363"/>
        <w:spacing w:after="0"/>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defend ourselves against legal proceedings, if any;</w:t>
      </w:r>
    </w:p>
    <w:p>
      <w:pPr>
        <w:spacing w:after="0" w:line="252" w:lineRule="exact"/>
        <w:rPr>
          <w:rFonts w:ascii="Arial" w:cs="Arial" w:eastAsia="Arial" w:hAnsi="Arial"/>
          <w:sz w:val="20"/>
          <w:szCs w:val="20"/>
          <w:color w:val="auto"/>
        </w:rPr>
      </w:pPr>
    </w:p>
    <w:p>
      <w:pPr>
        <w:ind w:left="860" w:right="920" w:hanging="363"/>
        <w:spacing w:after="0" w:line="279" w:lineRule="auto"/>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make investments to improve our defenses against cybersecurity threats and establish and maintain cybersecurity insurance;</w:t>
      </w:r>
    </w:p>
    <w:p>
      <w:pPr>
        <w:spacing w:after="0" w:line="179" w:lineRule="exact"/>
        <w:rPr>
          <w:rFonts w:ascii="Arial" w:cs="Arial" w:eastAsia="Arial" w:hAnsi="Arial"/>
          <w:sz w:val="20"/>
          <w:szCs w:val="20"/>
          <w:color w:val="auto"/>
        </w:rPr>
      </w:pPr>
    </w:p>
    <w:p>
      <w:pPr>
        <w:ind w:left="860" w:right="720" w:hanging="363"/>
        <w:spacing w:after="0" w:line="279" w:lineRule="auto"/>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increase our product liability and clinical trial insurance coverage as we expand our clinical trials and commercialization efforts; and</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operate as a public company.</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amount and timing of these expenses determines our future capital requirements.</w:t>
      </w:r>
    </w:p>
    <w:p>
      <w:pPr>
        <w:spacing w:after="0" w:line="239" w:lineRule="exact"/>
        <w:rPr>
          <w:sz w:val="20"/>
          <w:szCs w:val="20"/>
          <w:color w:val="auto"/>
        </w:rPr>
      </w:pPr>
    </w:p>
    <w:p>
      <w:pPr>
        <w:ind w:right="60" w:firstLine="489"/>
        <w:spacing w:after="0" w:line="245" w:lineRule="auto"/>
        <w:rPr>
          <w:sz w:val="20"/>
          <w:szCs w:val="20"/>
          <w:color w:val="auto"/>
        </w:rPr>
      </w:pPr>
      <w:r>
        <w:rPr>
          <w:rFonts w:ascii="Times New Roman" w:cs="Times New Roman" w:eastAsia="Times New Roman" w:hAnsi="Times New Roman"/>
          <w:sz w:val="20"/>
          <w:szCs w:val="20"/>
          <w:color w:val="auto"/>
        </w:rPr>
        <w:t>Based on our current operating plan, which includes estimates of anticipated cash inflows from DEXTENZA product sales and cash outflows from operating expenses and capital expenditures and reflects our observance of the minimum liquidity covenant of $20.0 million under the Barings Credit Agreement, we believe that our existing cash and cash equivalents as of December 31, 2025 will enable us to fund our planned operating expenses, debt service obligations and capital expenditure requirements into 2028. Although we believe our current and available cash resources are sufficient to get through potential approval of AXPAXLI for the treatment of wet AMD by the FDA, additional funding will likely be required to support the commercialization of AXPAXLI, if approved. These estimates are subject to various assumptions, including assumptions as to the revenues and expenses associated with the</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9700"/>
          </w:cols>
          <w:pgMar w:left="1080" w:top="1064" w:right="1100" w:bottom="0" w:gutter="0" w:footer="0" w:header="0"/>
          <w:type w:val="continuous"/>
        </w:sectPr>
      </w:pPr>
    </w:p>
    <w:bookmarkStart w:id="126" w:name="page127"/>
    <w:bookmarkEnd w:id="126"/>
    <w:p>
      <w:pPr>
        <w:ind w:right="40"/>
        <w:spacing w:after="0" w:line="253" w:lineRule="auto"/>
        <w:rPr>
          <w:sz w:val="20"/>
          <w:szCs w:val="20"/>
          <w:color w:val="auto"/>
        </w:rPr>
      </w:pPr>
      <w:r>
        <w:rPr>
          <w:rFonts w:ascii="Times New Roman" w:cs="Times New Roman" w:eastAsia="Times New Roman" w:hAnsi="Times New Roman"/>
          <w:sz w:val="20"/>
          <w:szCs w:val="20"/>
          <w:color w:val="auto"/>
        </w:rPr>
        <w:t>commercialization of DEXTENZA, the pace of our research and clinical development programs, the timing of commencement of dosing and enrollment of our clinical trials, the progress of our manufacturing validation and scale-up and other aspects of our business. We have based our estimates on assumptions that may prove to be wrong, and we could use our capital resources sooner than we currently expect.</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including:</w:t>
      </w:r>
    </w:p>
    <w:p>
      <w:pPr>
        <w:spacing w:after="0" w:line="255" w:lineRule="exact"/>
        <w:rPr>
          <w:sz w:val="20"/>
          <w:szCs w:val="20"/>
          <w:color w:val="auto"/>
        </w:rPr>
      </w:pPr>
    </w:p>
    <w:p>
      <w:pPr>
        <w:ind w:left="860" w:right="140" w:hanging="363"/>
        <w:spacing w:after="0" w:line="307" w:lineRule="auto"/>
        <w:tabs>
          <w:tab w:leader="none" w:pos="86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the progress, costs and outcomes of our ongoing SOL and HELIOS registrational programs of AXPAXLI for the treatment of wet AMD and for the treatment of diabetic retinal disease, including NPDR, respectively;</w:t>
      </w:r>
    </w:p>
    <w:p>
      <w:pPr>
        <w:spacing w:after="0" w:line="154" w:lineRule="exact"/>
        <w:rPr>
          <w:rFonts w:ascii="Arial" w:cs="Arial" w:eastAsia="Arial" w:hAnsi="Arial"/>
          <w:sz w:val="19"/>
          <w:szCs w:val="19"/>
          <w:color w:val="auto"/>
        </w:rPr>
      </w:pPr>
    </w:p>
    <w:p>
      <w:pPr>
        <w:ind w:left="860" w:right="180" w:hanging="363"/>
        <w:spacing w:after="0" w:line="27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scope, progress, costs and outcome of our planned SOL-X trial, our long-term extension study of AXPAXLI for the treatment of wet AMD;</w:t>
      </w:r>
    </w:p>
    <w:p>
      <w:pPr>
        <w:spacing w:after="0" w:line="178" w:lineRule="exact"/>
        <w:rPr>
          <w:rFonts w:ascii="Arial" w:cs="Arial" w:eastAsia="Arial" w:hAnsi="Arial"/>
          <w:sz w:val="20"/>
          <w:szCs w:val="20"/>
          <w:color w:val="auto"/>
        </w:rPr>
      </w:pPr>
    </w:p>
    <w:p>
      <w:pPr>
        <w:ind w:left="860" w:right="40" w:hanging="363"/>
        <w:spacing w:after="0" w:line="27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AXPAXLI or our other product candidates by the FDA, the European Medicines Agency, or EMA, or other regulatory authorities;</w:t>
      </w:r>
    </w:p>
    <w:p>
      <w:pPr>
        <w:spacing w:after="0" w:line="178" w:lineRule="exact"/>
        <w:rPr>
          <w:rFonts w:ascii="Arial" w:cs="Arial" w:eastAsia="Arial" w:hAnsi="Arial"/>
          <w:sz w:val="20"/>
          <w:szCs w:val="20"/>
          <w:color w:val="auto"/>
        </w:rPr>
      </w:pPr>
    </w:p>
    <w:p>
      <w:pPr>
        <w:ind w:left="860" w:right="140" w:hanging="363"/>
        <w:spacing w:after="0" w:line="253"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costs and outcome of preclinical development and any additional clinical trials we might determine in the future to conduct for our other product candidates, including OTX-TIC for the reduction of intraocular pressure, or IOP, in patients with primary open-angle glaucoma, or OAG, or ocular hypertension, or OHT;</w:t>
      </w:r>
    </w:p>
    <w:p>
      <w:pPr>
        <w:spacing w:after="0" w:line="204" w:lineRule="exact"/>
        <w:rPr>
          <w:rFonts w:ascii="Arial" w:cs="Arial" w:eastAsia="Arial" w:hAnsi="Arial"/>
          <w:sz w:val="20"/>
          <w:szCs w:val="20"/>
          <w:color w:val="auto"/>
        </w:rPr>
      </w:pPr>
    </w:p>
    <w:p>
      <w:pPr>
        <w:ind w:left="860" w:right="220" w:hanging="363"/>
        <w:spacing w:after="0" w:line="24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developing, validating and scaling up our manufacturing processes and capabilities to support sales of commercial products, clinical trials of our product candidates, including AXPAXLI, and commercialization of any of our product candidates for which we may obtain marketing approval, including AXPAXLI, and of expanding our facilities to accommodate this scale up and any corresponding growth in personnel;</w:t>
      </w:r>
    </w:p>
    <w:p>
      <w:pPr>
        <w:spacing w:after="0" w:line="210" w:lineRule="exact"/>
        <w:rPr>
          <w:rFonts w:ascii="Arial" w:cs="Arial" w:eastAsia="Arial" w:hAnsi="Arial"/>
          <w:sz w:val="20"/>
          <w:szCs w:val="20"/>
          <w:color w:val="auto"/>
        </w:rPr>
      </w:pPr>
    </w:p>
    <w:p>
      <w:pPr>
        <w:ind w:left="860" w:hanging="363"/>
        <w:spacing w:after="0" w:line="253"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sales, marketing, distribution and other commercialization efforts with respect to DEXTENZA and any of our product candidates for which we obtain or may obtain marketing approval in the future, such as AXPAXLI, including costs related to preparing for and implementing the potential marketing of AXPAXLI outside the United States;</w:t>
      </w:r>
    </w:p>
    <w:p>
      <w:pPr>
        <w:spacing w:after="0" w:line="204" w:lineRule="exact"/>
        <w:rPr>
          <w:rFonts w:ascii="Arial" w:cs="Arial" w:eastAsia="Arial" w:hAnsi="Arial"/>
          <w:sz w:val="20"/>
          <w:szCs w:val="20"/>
          <w:color w:val="auto"/>
        </w:rPr>
      </w:pPr>
    </w:p>
    <w:p>
      <w:pPr>
        <w:ind w:left="860" w:right="520" w:hanging="363"/>
        <w:spacing w:after="0" w:line="27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product sales from DEXTENZA and any additional products for which we obtain marketing approval in the future and the level of third-party reimbursement of such products;</w:t>
      </w:r>
    </w:p>
    <w:p>
      <w:pPr>
        <w:spacing w:after="0" w:line="178" w:lineRule="exact"/>
        <w:rPr>
          <w:rFonts w:ascii="Arial" w:cs="Arial" w:eastAsia="Arial" w:hAnsi="Arial"/>
          <w:sz w:val="20"/>
          <w:szCs w:val="20"/>
          <w:color w:val="auto"/>
        </w:rPr>
      </w:pPr>
    </w:p>
    <w:p>
      <w:pPr>
        <w:ind w:left="860" w:hanging="363"/>
        <w:spacing w:after="0"/>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cost increases due to inflation;</w:t>
      </w:r>
    </w:p>
    <w:p>
      <w:pPr>
        <w:spacing w:after="0" w:line="253" w:lineRule="exact"/>
        <w:rPr>
          <w:rFonts w:ascii="Arial" w:cs="Arial" w:eastAsia="Arial" w:hAnsi="Arial"/>
          <w:sz w:val="20"/>
          <w:szCs w:val="20"/>
          <w:color w:val="auto"/>
        </w:rPr>
      </w:pPr>
    </w:p>
    <w:p>
      <w:pPr>
        <w:ind w:left="860" w:right="280" w:hanging="363"/>
        <w:spacing w:after="0" w:line="27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of our debt service obligations and our ability, if desired, to refinance any of our existing debt on terms that are more favorable to us;</w:t>
      </w:r>
    </w:p>
    <w:p>
      <w:pPr>
        <w:spacing w:after="0" w:line="178" w:lineRule="exact"/>
        <w:rPr>
          <w:rFonts w:ascii="Arial" w:cs="Arial" w:eastAsia="Arial" w:hAnsi="Arial"/>
          <w:sz w:val="20"/>
          <w:szCs w:val="20"/>
          <w:color w:val="auto"/>
        </w:rPr>
      </w:pPr>
    </w:p>
    <w:p>
      <w:pPr>
        <w:jc w:val="both"/>
        <w:ind w:left="860" w:right="120" w:hanging="363"/>
        <w:spacing w:after="0" w:line="27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amounts we are entitled to receive, if any, as reimbursements for clinical trial expenditures, development, regulatory, and sales milestone payments, and royalty payments under our license agreement with AffaMed;</w:t>
      </w:r>
    </w:p>
    <w:p>
      <w:pPr>
        <w:spacing w:after="0" w:line="178" w:lineRule="exact"/>
        <w:rPr>
          <w:rFonts w:ascii="Arial" w:cs="Arial" w:eastAsia="Arial" w:hAnsi="Arial"/>
          <w:sz w:val="20"/>
          <w:szCs w:val="20"/>
          <w:color w:val="auto"/>
        </w:rPr>
      </w:pPr>
    </w:p>
    <w:p>
      <w:pPr>
        <w:ind w:left="860" w:right="960" w:hanging="363"/>
        <w:spacing w:after="0" w:line="27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choose to establish additional collaboration, distribution or other marketing arrangements for our products and product candidates;</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outcomes of any legal actions and proceedings;</w:t>
      </w:r>
    </w:p>
    <w:p>
      <w:pPr>
        <w:spacing w:after="0" w:line="252" w:lineRule="exact"/>
        <w:rPr>
          <w:rFonts w:ascii="Arial" w:cs="Arial" w:eastAsia="Arial" w:hAnsi="Arial"/>
          <w:sz w:val="20"/>
          <w:szCs w:val="20"/>
          <w:color w:val="auto"/>
        </w:rPr>
      </w:pPr>
    </w:p>
    <w:p>
      <w:pPr>
        <w:ind w:left="860" w:right="280" w:hanging="363"/>
        <w:spacing w:after="0" w:line="279" w:lineRule="auto"/>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 and</w:t>
      </w:r>
    </w:p>
    <w:p>
      <w:pPr>
        <w:spacing w:after="0" w:line="179" w:lineRule="exact"/>
        <w:rPr>
          <w:rFonts w:ascii="Arial" w:cs="Arial" w:eastAsia="Arial" w:hAnsi="Arial"/>
          <w:sz w:val="20"/>
          <w:szCs w:val="20"/>
          <w:color w:val="auto"/>
        </w:rPr>
      </w:pPr>
    </w:p>
    <w:p>
      <w:pPr>
        <w:ind w:left="860" w:hanging="363"/>
        <w:spacing w:after="0"/>
        <w:tabs>
          <w:tab w:leader="none" w:pos="86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invest in other businesses, products and technologies.</w:t>
      </w:r>
    </w:p>
    <w:p>
      <w:pPr>
        <w:spacing w:after="0" w:line="238" w:lineRule="exact"/>
        <w:rPr>
          <w:sz w:val="20"/>
          <w:szCs w:val="20"/>
          <w:color w:val="auto"/>
        </w:rPr>
      </w:pPr>
    </w:p>
    <w:p>
      <w:pPr>
        <w:ind w:right="560" w:firstLine="489"/>
        <w:spacing w:after="0" w:line="259" w:lineRule="auto"/>
        <w:rPr>
          <w:sz w:val="20"/>
          <w:szCs w:val="20"/>
          <w:color w:val="auto"/>
        </w:rPr>
      </w:pPr>
      <w:r>
        <w:rPr>
          <w:rFonts w:ascii="Times New Roman" w:cs="Times New Roman" w:eastAsia="Times New Roman" w:hAnsi="Times New Roman"/>
          <w:sz w:val="20"/>
          <w:szCs w:val="20"/>
          <w:color w:val="auto"/>
        </w:rPr>
        <w:t>Until such time, if ever, as we can generate product revenues sufficient to achieve profitability, we expect to finance our cash needs through equity offerings, debt financings, collaborations, strategic alliances, licensing arrangements, royalty agreements, and marketing and distribution arrangements. We do not have any committed</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9720"/>
          </w:cols>
          <w:pgMar w:left="1080" w:top="1064" w:right="1080" w:bottom="0" w:gutter="0" w:footer="0" w:header="0"/>
          <w:type w:val="continuous"/>
        </w:sectPr>
      </w:pPr>
    </w:p>
    <w:bookmarkStart w:id="127" w:name="page128"/>
    <w:bookmarkEnd w:id="127"/>
    <w:p>
      <w:pPr>
        <w:ind w:right="20"/>
        <w:spacing w:after="0"/>
        <w:rPr>
          <w:sz w:val="20"/>
          <w:szCs w:val="20"/>
          <w:color w:val="auto"/>
        </w:rPr>
      </w:pPr>
      <w:r>
        <w:rPr>
          <w:rFonts w:ascii="Times New Roman" w:cs="Times New Roman" w:eastAsia="Times New Roman" w:hAnsi="Times New Roman"/>
          <w:sz w:val="20"/>
          <w:szCs w:val="20"/>
          <w:color w:val="auto"/>
        </w:rPr>
        <w:t>external source of funds, although our license agreement with AffaMed provides for AffaMed’s reimbursement of certain clinical expenses incurred by us in connection with our collaboration and for our potential receipt of development and sales milestone payments and royalty payments. To the extent that we raise additional capital through the sale of equity, preferred equity or convertible debt securities, our securityholders’ ownership interests will be diluted, and the terms of these securities may include liquidation or other preferences that adversely affect our existing securityholders’ rights as holders or beneficial owners of our common stock. Debt financing, such as our existing Barings Credit Facility, and preferred equity financing, if available, may involve agreements that include covenants limiting or restricting our ability to take specific actions, such as incurring additional debt, making capital expenditures or declaring</w:t>
      </w:r>
    </w:p>
    <w:p>
      <w:pPr>
        <w:spacing w:after="0" w:line="1"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20"/>
          <w:szCs w:val="20"/>
          <w:color w:val="auto"/>
        </w:rPr>
        <w:t>dividends. Our pledge of our assets as collateral to secure our obligations under the Barings Credit Facility pursuant to which we have a total borrowing capacity of $82.5 million, which has been fully drawn down, may limit our ability to obtain additional debt or other financing.</w:t>
      </w:r>
    </w:p>
    <w:p>
      <w:pPr>
        <w:spacing w:after="0" w:line="186"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licensing arrangements, royalty agreements or marketing and distribution arrangements, we may have to relinquish valuable rights to our technologies, future revenue streams, research programs, products or product candidates or grant licenses on terms that may not be favorable to us. If we are unable to raise additional funds through equity or debt financings or other arrangements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11"/>
          </w:tcPr>
          <w:p>
            <w:pPr>
              <w:ind w:left="5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7"/>
        </w:trPr>
        <w:tc>
          <w:tcPr>
            <w:tcW w:w="6620" w:type="dxa"/>
            <w:vAlign w:val="bottom"/>
            <w:vMerge w:val="restart"/>
          </w:tcPr>
          <w:p>
            <w:pPr>
              <w:jc w:val="right"/>
              <w:ind w:right="3920"/>
              <w:spacing w:after="0"/>
              <w:rPr>
                <w:sz w:val="20"/>
                <w:szCs w:val="20"/>
                <w:color w:val="auto"/>
              </w:rPr>
            </w:pPr>
            <w:r>
              <w:rPr>
                <w:rFonts w:ascii="Times New Roman" w:cs="Times New Roman" w:eastAsia="Times New Roman" w:hAnsi="Times New Roman"/>
                <w:sz w:val="20"/>
                <w:szCs w:val="20"/>
                <w:color w:val="auto"/>
                <w:w w:val="99"/>
              </w:rPr>
              <w:t>Cash used in operating activities</w:t>
            </w: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07"/>
              <w:spacing w:after="0" w:line="177"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4"/>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84"/>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620" w:type="dxa"/>
            <w:vAlign w:val="bottom"/>
            <w:vMerge w:val="continue"/>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w:t>
            </w: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99"/>
              </w:rPr>
              <w:t>(204,883)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(134,677)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(70,234)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6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Cash used in investing activities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(11,880)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(6,087)</w:t>
            </w:r>
          </w:p>
        </w:tc>
        <w:tc>
          <w:tcPr>
            <w:tcW w:w="0" w:type="dxa"/>
            <w:vAlign w:val="bottom"/>
          </w:tcPr>
          <w:p>
            <w:pPr>
              <w:spacing w:after="0"/>
              <w:rPr>
                <w:sz w:val="1"/>
                <w:szCs w:val="1"/>
                <w:color w:val="auto"/>
              </w:rPr>
            </w:pPr>
          </w:p>
        </w:tc>
      </w:tr>
      <w:tr>
        <w:trPr>
          <w:trHeight w:val="241"/>
        </w:trPr>
        <w:tc>
          <w:tcPr>
            <w:tcW w:w="66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Cash provided by financing activities . . . . . . . . . . . . . . . . . . . . . . . . . . . . . . . . . . .</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561,721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332,110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169,828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.Netincreaseincashandcashequivalents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344,958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196,145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Net cash used in operating activities was $204.9 million for the year ended</w:t>
      </w:r>
    </w:p>
    <w:p>
      <w:pPr>
        <w:ind w:right="80" w:firstLine="1"/>
        <w:spacing w:after="0" w:line="243" w:lineRule="auto"/>
        <w:rPr>
          <w:sz w:val="20"/>
          <w:szCs w:val="20"/>
          <w:color w:val="auto"/>
        </w:rPr>
      </w:pPr>
      <w:r>
        <w:rPr>
          <w:rFonts w:ascii="Times New Roman" w:cs="Times New Roman" w:eastAsia="Times New Roman" w:hAnsi="Times New Roman"/>
          <w:sz w:val="20"/>
          <w:szCs w:val="20"/>
          <w:color w:val="auto"/>
        </w:rPr>
        <w:t>December 31, 2025, primarily resulting from our net loss of $265.9 million, partially offset by non-cash adjustments of $53.3 million and net favorable changes in operating assets and liabilities of $7.7 million. Our net loss was primarily attributed to operating expenses of $ 322.0 million, which we incurred primarily for research and development activities, selling and marketing activities, and general and administrative activities, and non-operating expenses, net, of $4.1 million, partially offset by $51.9 million of revenue. Non-cash adjustments primarily include stock -based compensation expense of $ 43.2 million, depreciation and amortization expense of $4.3 million, non-cash interest expense of $3.4 million, and a net non-cash loss related to changes in the fair value of our derivative liabilities of $2.5 million. Net cash provided by net favorable changes in our operating assets and liabilities during the year ended December 31, 2025 consisted primarily of increases of accrued expenses and other liabilities of $5.2 million, resulting primarily from employee compensation-related accruals as well as accruals related to our clinical development, decreases of prepaid expenses and other current assets of $2.6 million, and decreases of accounts receivable of $1.7 million, resulting from decreased net sales of DEXTENZA, partially offset by decreases of accounts payable of $0.9 million and other changes, net, of $1.0 million.</w:t>
      </w:r>
    </w:p>
    <w:p>
      <w:pPr>
        <w:spacing w:after="0" w:line="20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Net cash used in operating activities was $134.7 million for the year ended December 31, 2024, primarily resulting from our net loss of $193.5 million and net unfavorable changes in operating assets and liabilities of $10.2 million, partially offset by non -cash adjustments of $69.1 million. Our net loss was primarily attributed to operating expenses of $235.5 million, which we incurred primarily for research and development activities, selling and marketing activities, and general and administrative activities, and non-operating expenses of $21.7 million, partially offset by $63.7 million of revenue. Non-cash adjustments primarily include losses on extinguishment of debt of $28.0 million, stock-based compensation expense of $33.1 million, depreciation and amortization expense of $3.8 million, non-cash interest expense of $ 3.7 million, and a net non-cash loss related to changes in the fair value of our derivative liabilities of $0.5 million. Net cash used by net unfavorable changes in our operating assets and liabilities during the year ended December 31, 2024 consisted primarily of increases of accounts receivable of $6.2 million, resulting from increased</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9720"/>
          </w:cols>
          <w:pgMar w:left="1080" w:top="1064" w:right="1080" w:bottom="0" w:gutter="0" w:footer="0" w:header="0"/>
          <w:type w:val="continuous"/>
        </w:sectPr>
      </w:pPr>
    </w:p>
    <w:bookmarkStart w:id="128" w:name="page129"/>
    <w:bookmarkEnd w:id="128"/>
    <w:p>
      <w:pPr>
        <w:ind w:right="800"/>
        <w:spacing w:after="0" w:line="280" w:lineRule="auto"/>
        <w:rPr>
          <w:sz w:val="20"/>
          <w:szCs w:val="20"/>
          <w:color w:val="auto"/>
        </w:rPr>
      </w:pPr>
      <w:r>
        <w:rPr>
          <w:rFonts w:ascii="Times New Roman" w:cs="Times New Roman" w:eastAsia="Times New Roman" w:hAnsi="Times New Roman"/>
          <w:sz w:val="20"/>
          <w:szCs w:val="20"/>
          <w:color w:val="auto"/>
        </w:rPr>
        <w:t>sales of DEXTENZA, and increases of prepaid expenses and other current assets of $5.7 million, resulting predominantly from our clinical development activities, partially offset by other decreases, net, of $1.6 million.</w:t>
      </w:r>
    </w:p>
    <w:p>
      <w:pPr>
        <w:spacing w:after="0" w:line="16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Net cash used in operating activities was $70.2 million for the year ended December 31, 2023, primarily resulting from our net loss of $80.7 million and net unfavorable changes in operating assets and liabilities of $7.4 million, partially offset by non -cash adjustments of $17.9 million. Our net loss was primarily attributed to operating expenses of $140.8 million, which we incurred primarily for research and development activities, selling and marketing activities, and general and administrative activities, partially offset by $58.4 million of revenue and a net non-operating income of $1.6 million. Non-cash adjustments primarily include a net gain on extinguishment of debt of $14.2 million, stock-based compensation expense of $17.8 million, non-cash interest expense of $6.1 million, non-cash expenses related to changes in the fair value of our derivative liabilities of $5.2 million, and depreciation and amortization expense of $3.0 million. Net cash used by net unfavorable changes in our operating assets and liabilities during the year ended December 31, 2023 consisted primarily of increases of accounts receivables of $4.9 million, increases of prepaid expenses and other current assets of $3.8 million, partially offset by increases of other items, net, of $1.2 million.</w:t>
      </w:r>
    </w:p>
    <w:p>
      <w:pPr>
        <w:spacing w:after="0" w:line="19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Investing activities. </w:t>
      </w:r>
      <w:r>
        <w:rPr>
          <w:rFonts w:ascii="Times New Roman" w:cs="Times New Roman" w:eastAsia="Times New Roman" w:hAnsi="Times New Roman"/>
          <w:sz w:val="20"/>
          <w:szCs w:val="20"/>
          <w:color w:val="auto"/>
        </w:rPr>
        <w:t>Net cash used in investing activities was $11.9 million for the year ended December 31,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consisting of $11.4 million in cash used to purchase property and equipment and to make leasehold improvements for the scale-up of AXPAXLI manufacturing, and $0.6 million in cash used to purchase other items of property and equipment to support ongoing operations, partially offset by $0.1 million cash received from the sale of obsolete items of property and equipment. Net cash used in investing activities was $1.3 million for the year ended December 31, 2024, consisting of cash used to purchase property and equipment and leasehold improvements. Net cash used in investing activities was $6.1 million for the year ended December 31, 2023, consisting of cash used to purchase property and equipment and leasehold improvements.</w:t>
      </w:r>
    </w:p>
    <w:p>
      <w:pPr>
        <w:spacing w:after="0" w:line="202"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Financing activities. </w:t>
      </w:r>
      <w:r>
        <w:rPr>
          <w:rFonts w:ascii="Times New Roman" w:cs="Times New Roman" w:eastAsia="Times New Roman" w:hAnsi="Times New Roman"/>
          <w:sz w:val="20"/>
          <w:szCs w:val="20"/>
          <w:color w:val="auto"/>
        </w:rPr>
        <w:t>Net cash provided by financing activities for the year ended December 31, 2025 was $561.7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and consisted of total net proceeds from the 2025 Offering of $445.6 million, total net proceeds from the issuance of common stock under the 2021 Sales Agreement of $94.0 million, proceeds from the exercise of stock options of $20.5 million, and proceeds from issuing shares under our ESPP, of $1.6 million.</w:t>
      </w:r>
    </w:p>
    <w:p>
      <w:pPr>
        <w:spacing w:after="0" w:line="191"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2024 was $332.1 million and consisted of total net proceeds from the issuance of common stock and pre-funded warrants in a private placement of approximately $316.4 million, proceeds from the exercise of stock options of $14.7 million, and proceeds from issuing shares under our Employee Stock Purchase Plan, or ESPP, of $1.0 million.</w:t>
      </w:r>
    </w:p>
    <w:p>
      <w:pPr>
        <w:spacing w:after="0" w:line="190"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2023 was $169.8 million and consisted of proceeds from the issuance of common stock in public offerings of $117.3 million, gross proceeds received from drawings under the Barings Credit Facility of $82.5 million, proceeds from the issuance of common stock pursuant to our employee stock purchase plan of $0.9 million and proceeds from the exercise of stock options of $0.6 million, partially offset by repayment of the MidCap Credit Facility of $26.1 million and payments of debt refinancing costs of $5.2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Less Than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1 to 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3 to 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More than</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(in</w:t>
            </w: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6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commitments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6,250</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Barings Credit Agreement . .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82,474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88,724</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$ 3,015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$ 82,474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table above includes our enforceable and legally binding obligations and future commitments at</w:t>
      </w:r>
    </w:p>
    <w:p>
      <w:pPr>
        <w:spacing w:after="0"/>
        <w:rPr>
          <w:sz w:val="20"/>
          <w:szCs w:val="20"/>
          <w:color w:val="auto"/>
        </w:rPr>
      </w:pPr>
      <w:r>
        <w:rPr>
          <w:rFonts w:ascii="Times New Roman" w:cs="Times New Roman" w:eastAsia="Times New Roman" w:hAnsi="Times New Roman"/>
          <w:sz w:val="20"/>
          <w:szCs w:val="20"/>
          <w:color w:val="auto"/>
        </w:rPr>
        <w:t>December 31, 2025, as well as obligations related to contracts that we are likely to continue, regardless of the fact that</w:t>
      </w:r>
    </w:p>
    <w:p>
      <w:pPr>
        <w:spacing w:after="0"/>
        <w:rPr>
          <w:sz w:val="20"/>
          <w:szCs w:val="20"/>
          <w:color w:val="auto"/>
        </w:rPr>
      </w:pPr>
      <w:r>
        <w:rPr>
          <w:rFonts w:ascii="Times New Roman" w:cs="Times New Roman" w:eastAsia="Times New Roman" w:hAnsi="Times New Roman"/>
          <w:sz w:val="20"/>
          <w:szCs w:val="20"/>
          <w:color w:val="auto"/>
        </w:rPr>
        <w:t>they may be cancelable at December 31, 2025. Some of the figures that we include in this table are based on</w:t>
      </w:r>
    </w:p>
    <w:p>
      <w:pPr>
        <w:spacing w:after="0"/>
        <w:rPr>
          <w:sz w:val="20"/>
          <w:szCs w:val="20"/>
          <w:color w:val="auto"/>
        </w:rPr>
      </w:pPr>
      <w:r>
        <w:rPr>
          <w:rFonts w:ascii="Times New Roman" w:cs="Times New Roman" w:eastAsia="Times New Roman" w:hAnsi="Times New Roman"/>
          <w:sz w:val="20"/>
          <w:szCs w:val="20"/>
          <w:color w:val="auto"/>
        </w:rPr>
        <w:t>management’s estimates and assumptions about these obligations, including their duration, and other factors. Because</w:t>
      </w:r>
    </w:p>
    <w:p>
      <w:pPr>
        <w:spacing w:after="0"/>
        <w:rPr>
          <w:sz w:val="20"/>
          <w:szCs w:val="20"/>
          <w:color w:val="auto"/>
        </w:rPr>
      </w:pPr>
      <w:r>
        <w:rPr>
          <w:rFonts w:ascii="Times New Roman" w:cs="Times New Roman" w:eastAsia="Times New Roman" w:hAnsi="Times New Roman"/>
          <w:sz w:val="20"/>
          <w:szCs w:val="20"/>
          <w:color w:val="auto"/>
        </w:rPr>
        <w:t>these estimates and assumptions are necessarily subjective, the amounts we will actually pay in future periods may vary</w:t>
      </w:r>
    </w:p>
    <w:p>
      <w:pPr>
        <w:spacing w:after="0"/>
        <w:rPr>
          <w:sz w:val="20"/>
          <w:szCs w:val="20"/>
          <w:color w:val="auto"/>
        </w:rPr>
      </w:pPr>
      <w:r>
        <w:rPr>
          <w:rFonts w:ascii="Times New Roman" w:cs="Times New Roman" w:eastAsia="Times New Roman" w:hAnsi="Times New Roman"/>
          <w:sz w:val="20"/>
          <w:szCs w:val="20"/>
          <w:color w:val="auto"/>
        </w:rPr>
        <w:t>from those reflected in the table.</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9720"/>
          </w:cols>
          <w:pgMar w:left="1080" w:top="1064" w:right="1080" w:bottom="0" w:gutter="0" w:footer="0" w:header="0"/>
          <w:type w:val="continuous"/>
        </w:sectPr>
      </w:pPr>
    </w:p>
    <w:bookmarkStart w:id="129" w:name="page130"/>
    <w:bookmarkEnd w:id="129"/>
    <w:p>
      <w:pPr>
        <w:jc w:val="center"/>
        <w:ind w:right="380"/>
        <w:spacing w:after="0"/>
        <w:rPr>
          <w:sz w:val="20"/>
          <w:szCs w:val="20"/>
          <w:color w:val="auto"/>
        </w:rPr>
      </w:pPr>
      <w:r>
        <w:rPr>
          <w:rFonts w:ascii="Times New Roman" w:cs="Times New Roman" w:eastAsia="Times New Roman" w:hAnsi="Times New Roman"/>
          <w:sz w:val="20"/>
          <w:szCs w:val="20"/>
          <w:color w:val="auto"/>
        </w:rPr>
        <w:t>We enter into contracts in the normal course of business to assist in the performance of our research and</w:t>
      </w:r>
    </w:p>
    <w:p>
      <w:pPr>
        <w:ind w:right="380"/>
        <w:spacing w:after="0" w:line="260" w:lineRule="auto"/>
        <w:rPr>
          <w:sz w:val="20"/>
          <w:szCs w:val="20"/>
          <w:color w:val="auto"/>
        </w:rPr>
      </w:pPr>
      <w:r>
        <w:rPr>
          <w:rFonts w:ascii="Times New Roman" w:cs="Times New Roman" w:eastAsia="Times New Roman" w:hAnsi="Times New Roman"/>
          <w:sz w:val="20"/>
          <w:szCs w:val="20"/>
          <w:color w:val="auto"/>
        </w:rPr>
        <w:t>development activities and other services and products for operating purposes. These contracts generally provide for termination on notice, and therefore are cancelable contracts which are not included in contractual obligations and commitments.</w:t>
      </w:r>
    </w:p>
    <w:p>
      <w:pPr>
        <w:spacing w:after="0" w:line="183" w:lineRule="exact"/>
        <w:rPr>
          <w:sz w:val="20"/>
          <w:szCs w:val="20"/>
          <w:color w:val="auto"/>
        </w:rPr>
      </w:pPr>
    </w:p>
    <w:p>
      <w:pPr>
        <w:jc w:val="both"/>
        <w:ind w:right="260" w:firstLine="490"/>
        <w:spacing w:after="0" w:line="253" w:lineRule="auto"/>
        <w:rPr>
          <w:sz w:val="20"/>
          <w:szCs w:val="20"/>
          <w:color w:val="auto"/>
        </w:rPr>
      </w:pPr>
      <w:r>
        <w:rPr>
          <w:rFonts w:ascii="Times New Roman" w:cs="Times New Roman" w:eastAsia="Times New Roman" w:hAnsi="Times New Roman"/>
          <w:sz w:val="20"/>
          <w:szCs w:val="20"/>
          <w:color w:val="auto"/>
        </w:rPr>
        <w:t>Operating lease commitments represent payments due under our leases of office, laboratory and manufacturing space in Bedford, Massachusetts that expire in July 2027 and July 2028, and leases of equipment that expire between 2026 and 2028. In January 2026, we entered into a sublease for additional office space in Bedford, Massachusetts that expires in March 2031. Operating lease commitments from this new lease are not included in the table above.</w:t>
      </w:r>
    </w:p>
    <w:p>
      <w:pPr>
        <w:spacing w:after="0" w:line="191"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The commitments under the Barings Credit Agreement represent repayment of principal only. Future payments of interest under the Barings Credit Agreement depend on the level of the Secured Overnight Financing Rate, or SOFR, and future payments of royalty fees depend on our future revenue from DEXTENZA, both of which cannot be estimated at this time.</w:t>
      </w:r>
    </w:p>
    <w:p>
      <w:pPr>
        <w:spacing w:after="0" w:line="19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in-licensed a significant portion of our intellectual property from Incept, an intellectual property holding company, under an amended and restated license agreement, or the License Agreement, that we entered into with Incept in January 2012, which was most recently amended in September 2018. We are obligated to pay Incept a royalty equal to a low-single-digit percentage of net sales made by us or our affiliates of any products, devices, materials, or components thereof, or the Licensed Products, including or covered by Original IP (as defined in the License Agreement), excluding the Shape-Changing IP (as defined in the License Agreement), in the Ophthalmic Field of Use (as defined in the License Agreement). We are obligated to pay Incept a royalty equal to a mid-single-digit percentage of net sales made by us or our affiliates of any Licensed Products including or covered by Original IP, excluding the Shape-Changing IP, in the Additional Field of Use (as defined in the License Agreement). We are obligated to pay Incept a royalty equal to a low-single- digit percentage of net sales made by us or our affiliates of any Licensed Products including or covered by Incept IP (as defined in the License Agreement) or Joint IP (as defined in the License Agreement) in the field of drug delivery. Any sublicensee of ours also will be obligated to pay Incept a royalty on net sales of Licensed Products made by it and will be bound by the terms of the agreement to the same extent as we are. We are obligated to reimburse Incept for our share of the reasonable fees and costs incurred by Incept in connection with the prosecution of the patent applications licensed to us under the agreement. Our share of these fees and costs is equal to the total amount of such fees and costs divided by the total number of Incept’s exclusive licensees of the patent application. We have not included in the table above any payments to Incept under this license agreement as the amount, timing and likelihood of such payments are not known.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44" w:lineRule="exact"/>
        <w:rPr>
          <w:sz w:val="20"/>
          <w:szCs w:val="20"/>
          <w:color w:val="auto"/>
        </w:rPr>
      </w:pPr>
    </w:p>
    <w:p>
      <w:pPr>
        <w:ind w:right="140" w:firstLine="489"/>
        <w:spacing w:after="0" w:line="250" w:lineRule="auto"/>
        <w:rPr>
          <w:sz w:val="20"/>
          <w:szCs w:val="20"/>
          <w:color w:val="auto"/>
        </w:rPr>
      </w:pPr>
      <w:r>
        <w:rPr>
          <w:rFonts w:ascii="Times New Roman" w:cs="Times New Roman" w:eastAsia="Times New Roman" w:hAnsi="Times New Roman"/>
          <w:sz w:val="20"/>
          <w:szCs w:val="20"/>
          <w:color w:val="auto"/>
        </w:rPr>
        <w:t>We did not have during the periods presented, and we do not currently have, any off-balance sheet arrangements, as defined in the rules and regulations of the Securities and Exchange Commission, such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4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generally accepted accounting principles in the United States of America. The preparation of our consolidated financial statements and related disclosures requires us to make estimates, assumptions and judgments that affect the reported amounts of assets, liabilities, revenue, costs and expenses, and the disclosure of contingent assets and liabilities in our consolidated financial statements. On an ongoing basis, we evaluate our estimates and judgments, including those related to revenue recognition, accrued research and development expenses and stock-based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6" w:lineRule="exact"/>
        <w:rPr>
          <w:sz w:val="20"/>
          <w:szCs w:val="20"/>
          <w:color w:val="auto"/>
        </w:rPr>
      </w:pPr>
    </w:p>
    <w:p>
      <w:pPr>
        <w:ind w:right="60" w:firstLine="490"/>
        <w:spacing w:after="0" w:line="260"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128</w:t>
      </w:r>
    </w:p>
    <w:p>
      <w:pPr>
        <w:sectPr>
          <w:pgSz w:w="11880" w:h="15480" w:orient="portrait"/>
          <w:cols w:equalWidth="0" w:num="1">
            <w:col w:w="9700"/>
          </w:cols>
          <w:pgMar w:left="1080" w:top="1064" w:right="110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recognize product revenue from the sales of DEXTENZA product.</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November 2018, the FDA approved DEXTENZA for the treatment of ocular pain following ophthalmic</w:t>
      </w:r>
    </w:p>
    <w:p>
      <w:pPr>
        <w:spacing w:after="0" w:line="248" w:lineRule="auto"/>
        <w:rPr>
          <w:sz w:val="20"/>
          <w:szCs w:val="20"/>
          <w:color w:val="auto"/>
        </w:rPr>
      </w:pPr>
      <w:r>
        <w:rPr>
          <w:rFonts w:ascii="Times New Roman" w:cs="Times New Roman" w:eastAsia="Times New Roman" w:hAnsi="Times New Roman"/>
          <w:sz w:val="20"/>
          <w:szCs w:val="20"/>
          <w:color w:val="auto"/>
        </w:rPr>
        <w:t xml:space="preserve">surgery. We entered into a limited number of arrangements with specialty distributors in the United States to distribute DEXTENZA. Accounting Standards Codification 606 –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or Topic 606, applies to all contracts with customers, except for contracts that are within the scope of other standards, such as leases, insurance arrangements and financial instruments. Under Topic 606, an entity recognizes revenue when its customer obtains control of promised goods or services, in an amount that reflects the consideration which the entity expects to be entitled to in exchange for those goods or services.</w:t>
      </w:r>
    </w:p>
    <w:p>
      <w:pPr>
        <w:spacing w:after="0" w:line="194" w:lineRule="exact"/>
        <w:rPr>
          <w:sz w:val="20"/>
          <w:szCs w:val="20"/>
          <w:color w:val="auto"/>
        </w:rPr>
      </w:pPr>
    </w:p>
    <w:p>
      <w:pPr>
        <w:ind w:right="40" w:firstLine="489"/>
        <w:spacing w:after="0" w:line="244" w:lineRule="auto"/>
        <w:rPr>
          <w:sz w:val="20"/>
          <w:szCs w:val="20"/>
          <w:color w:val="auto"/>
        </w:rPr>
      </w:pPr>
      <w:r>
        <w:rPr>
          <w:rFonts w:ascii="Times New Roman" w:cs="Times New Roman" w:eastAsia="Times New Roman" w:hAnsi="Times New Roman"/>
          <w:sz w:val="20"/>
          <w:szCs w:val="20"/>
          <w:color w:val="auto"/>
        </w:rPr>
        <w:t xml:space="preserve">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arrangements that meet the definition of a contract with a customer under Topic 606, including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For a complete discussion of accounting for product revenue, see </w:t>
      </w:r>
      <w:r>
        <w:rPr>
          <w:rFonts w:ascii="Times New Roman" w:cs="Times New Roman" w:eastAsia="Times New Roman" w:hAnsi="Times New Roman"/>
          <w:sz w:val="20"/>
          <w:szCs w:val="20"/>
          <w:i w:val="1"/>
          <w:iCs w:val="1"/>
          <w:color w:val="auto"/>
        </w:rPr>
        <w:t>Product Revenue, Net</w:t>
      </w:r>
      <w:r>
        <w:rPr>
          <w:rFonts w:ascii="Times New Roman" w:cs="Times New Roman" w:eastAsia="Times New Roman" w:hAnsi="Times New Roman"/>
          <w:sz w:val="20"/>
          <w:szCs w:val="20"/>
          <w:color w:val="auto"/>
        </w:rPr>
        <w:t xml:space="preserve"> (below).</w:t>
      </w:r>
    </w:p>
    <w:p>
      <w:pPr>
        <w:spacing w:after="0" w:line="198" w:lineRule="exact"/>
        <w:rPr>
          <w:sz w:val="20"/>
          <w:szCs w:val="20"/>
          <w:color w:val="auto"/>
        </w:rPr>
      </w:pPr>
    </w:p>
    <w:p>
      <w:pPr>
        <w:ind w:right="380" w:firstLine="490"/>
        <w:spacing w:after="0" w:line="248" w:lineRule="auto"/>
        <w:rPr>
          <w:sz w:val="20"/>
          <w:szCs w:val="20"/>
          <w:color w:val="auto"/>
        </w:rPr>
      </w:pPr>
      <w:r>
        <w:rPr>
          <w:rFonts w:ascii="Times New Roman" w:cs="Times New Roman" w:eastAsia="Times New Roman" w:hAnsi="Times New Roman"/>
          <w:sz w:val="20"/>
          <w:szCs w:val="20"/>
          <w:i w:val="1"/>
          <w:iCs w:val="1"/>
          <w:color w:val="auto"/>
        </w:rPr>
        <w:t>Product Revenue, Net</w:t>
      </w:r>
      <w:r>
        <w:rPr>
          <w:rFonts w:ascii="Times New Roman" w:cs="Times New Roman" w:eastAsia="Times New Roman" w:hAnsi="Times New Roman"/>
          <w:sz w:val="20"/>
          <w:szCs w:val="20"/>
          <w:color w:val="auto"/>
        </w:rPr>
        <w:t>— We derive our product revenues from the sale of DEXTENZA in the United States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which includes a limited number of specialty distributors, who then subsequently resell DEXTENZA to ASCs, HOPDs, and physicians’ offices. We also sell DEXTENZA directly to a small population of ASCs and physicians’ offices, based on individually negotiated direct distribution agreements. In addition, we enter into arrangements with health care providers and payors that provide for government mandated or privately negotiated rebates and chargebacks with respect to the purchase of DEXTENZA.</w:t>
      </w:r>
    </w:p>
    <w:p>
      <w:pPr>
        <w:spacing w:after="0" w:line="19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recognize revenue on product sales when the customer obtains control of our product, which occurs at a point in time (upon delivery to the customer). We have determined that the delivery of DEXTENZA to our customers constitutes a single performance obligation. There are no other promises to deliver goods or services beyond what is specified in each accepted customer order. We have assessed the existence of a significant financing component in the agreements with our customers. The trade payment terms with our customers do not exceed one year and therefore we have elected to apply the practical expedient and no amount of consideration has been allocated as a financing component. Product revenues are recorded net of applicable reserves for variable consideration, including discounts and allowances.</w:t>
      </w:r>
    </w:p>
    <w:p>
      <w:pPr>
        <w:spacing w:after="0" w:line="20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Transaction Price, including Variable Consideration</w:t>
      </w:r>
      <w:r>
        <w:rPr>
          <w:rFonts w:ascii="Times New Roman" w:cs="Times New Roman" w:eastAsia="Times New Roman" w:hAnsi="Times New Roman"/>
          <w:sz w:val="20"/>
          <w:szCs w:val="20"/>
          <w:color w:val="auto"/>
        </w:rPr>
        <w:t>— Revenues from product sales are recorded at the net sales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price (transaction price), which includes estimates of variable consideration for which reserves are established. Components of variable consideration include trade discounts and allowances, product returns, government chargebacks, discounts and rebates, and other incentives, such as voluntary patient assistance, and other fee-for-service amounts that are detailed within contracts between us and our customers relating to our sale of DEXTENZA. These reserves, as detailed below, are based on the amounts earned, or to be claimed on the related sales, and are classified as reductions of accounts receivable or a current liability.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respective underlying contracts.</w:t>
      </w:r>
    </w:p>
    <w:p>
      <w:pPr>
        <w:spacing w:after="0" w:line="198" w:lineRule="exact"/>
        <w:rPr>
          <w:sz w:val="20"/>
          <w:szCs w:val="20"/>
          <w:color w:val="auto"/>
        </w:rPr>
      </w:pPr>
    </w:p>
    <w:p>
      <w:pPr>
        <w:ind w:right="20" w:firstLine="489"/>
        <w:spacing w:after="0" w:line="266" w:lineRule="auto"/>
        <w:rPr>
          <w:sz w:val="20"/>
          <w:szCs w:val="20"/>
          <w:color w:val="auto"/>
        </w:rPr>
      </w:pPr>
      <w:r>
        <w:rPr>
          <w:rFonts w:ascii="Times New Roman" w:cs="Times New Roman" w:eastAsia="Times New Roman" w:hAnsi="Times New Roman"/>
          <w:sz w:val="19"/>
          <w:szCs w:val="19"/>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our estimates. If actual results in the future vary from our original estimates, we will adjust these estimates, which would affect net product revenue and earnings in the period such variances become known.</w:t>
      </w:r>
    </w:p>
    <w:p>
      <w:pPr>
        <w:sectPr>
          <w:pgSz w:w="11880" w:h="15480" w:orient="portrait"/>
          <w:cols w:equalWidth="0" w:num="1">
            <w:col w:w="9700"/>
          </w:cols>
          <w:pgMar w:left="1080" w:top="1067" w:right="110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129</w:t>
      </w:r>
    </w:p>
    <w:p>
      <w:pPr>
        <w:sectPr>
          <w:pgSz w:w="11880" w:h="15480" w:orient="portrait"/>
          <w:cols w:equalWidth="0" w:num="1">
            <w:col w:w="9700"/>
          </w:cols>
          <w:pgMar w:left="1080" w:top="1067" w:right="1100" w:bottom="0" w:gutter="0" w:footer="0" w:header="0"/>
          <w:type w:val="continuous"/>
        </w:sectPr>
      </w:pPr>
    </w:p>
    <w:bookmarkStart w:id="131" w:name="page132"/>
    <w:bookmarkEnd w:id="131"/>
    <w:p>
      <w:pPr>
        <w:ind w:firstLine="489"/>
        <w:spacing w:after="0" w:line="250" w:lineRule="auto"/>
        <w:rPr>
          <w:sz w:val="20"/>
          <w:szCs w:val="20"/>
          <w:color w:val="auto"/>
        </w:rPr>
      </w:pPr>
      <w:r>
        <w:rPr>
          <w:rFonts w:ascii="Times New Roman" w:cs="Times New Roman" w:eastAsia="Times New Roman" w:hAnsi="Times New Roman"/>
          <w:sz w:val="20"/>
          <w:szCs w:val="20"/>
          <w:i w:val="1"/>
          <w:iCs w:val="1"/>
          <w:color w:val="auto"/>
        </w:rPr>
        <w:t>Trade Discounts and Allowances</w:t>
      </w:r>
      <w:r>
        <w:rPr>
          <w:rFonts w:ascii="Times New Roman" w:cs="Times New Roman" w:eastAsia="Times New Roman" w:hAnsi="Times New Roman"/>
          <w:sz w:val="20"/>
          <w:szCs w:val="20"/>
          <w:color w:val="auto"/>
        </w:rPr>
        <w:t>—We compensate (through trade discounts and allowances) our customers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order management, data, and distribution services. However, we have determined such services received to date are not distinct from our sale of products to the customer and, therefore, these payments have been recorded as a reduction of revenue within the statement of operations and comprehensive loss, as well as a reduction to trade receivables, net on the consolidated balance sheets.</w:t>
      </w:r>
    </w:p>
    <w:p>
      <w:pPr>
        <w:spacing w:after="0" w:line="19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Product Returns</w:t>
      </w:r>
      <w:r>
        <w:rPr>
          <w:rFonts w:ascii="Times New Roman" w:cs="Times New Roman" w:eastAsia="Times New Roman" w:hAnsi="Times New Roman"/>
          <w:sz w:val="20"/>
          <w:szCs w:val="20"/>
          <w:color w:val="auto"/>
        </w:rPr>
        <w:t>— Consistent with industry practice, we generally offer customers a limited right of return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that has been purchased from us in certain circumstances as further discussed below. We estimate the amount of our product sales that may be returned by our customers and record this estimate as a reduction of revenue in the period the related product revenue is recognized, as well as within accrued expenses and other current liabilities, in the accompanying consolidated balance sheets. We currently estimate product return reserves using available industry data and our own sales information, including our visibility into the inventory remaining in the distribution channel. We have received minimal returns to date and believe the returns of DEXTENZA will be minimal.</w:t>
      </w:r>
    </w:p>
    <w:p>
      <w:pPr>
        <w:spacing w:after="0" w:line="19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auto"/>
        </w:rPr>
        <w:t>Government Chargebacks</w:t>
      </w:r>
      <w:r>
        <w:rPr>
          <w:rFonts w:ascii="Times New Roman" w:cs="Times New Roman" w:eastAsia="Times New Roman" w:hAnsi="Times New Roman"/>
          <w:sz w:val="20"/>
          <w:szCs w:val="20"/>
          <w:color w:val="auto"/>
        </w:rPr>
        <w:t>— Chargebacks for fees and discounts to qualified government healthcare providers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 the estimated obligations resulting from contractual commitments to sell products to qualified U.S. Department of Veterans Affairs hospitals and 340B entities at prices lower than the list prices charged to customers who directly purchase the product from us. The 340B Drug Discount Program is a U.S. federal government program created in 1992 that requires drug manufacturers to provide outpatient drugs to eligible health care organizations and covered entities at significantly reduced prices. Customers charge us for the difference between what they pay for the product and the statutory selling price to the qualified government entity. These allowances are established in the same period that the related revenue is recognized, resulting in a reduction of product revenue and trade receivables, net. Chargeback amounts are generally determined at the time of resale to the qualified government healthcare provider by customers, and we generally issue credits for such amounts within a few weeks of the customer’s notification to us of the resale. Allowances for chargebacks consist of credits that we expect to issue for units that remain in the distribution channel inventories at each reporting period-end that we expect will be sold to qualified healthcare providers, and chargebacks that customers have claimed, but for which we have not yet issued a credit.</w:t>
      </w:r>
    </w:p>
    <w:p>
      <w:pPr>
        <w:spacing w:after="0" w:line="20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Government Rebates</w:t>
      </w:r>
      <w:r>
        <w:rPr>
          <w:rFonts w:ascii="Times New Roman" w:cs="Times New Roman" w:eastAsia="Times New Roman" w:hAnsi="Times New Roman"/>
          <w:sz w:val="20"/>
          <w:szCs w:val="20"/>
          <w:color w:val="auto"/>
        </w:rPr>
        <w:t>— We are subject to discount obligations under state Medicaid programs and Medicare.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These 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we also estimate the number of patients in the prescription drug coverage gap for whom we will owe an additional liability under the Medicare Part D program. For Medicaid programs, we estimate the portion of sales attributed to Medicaid patients and record a liability for the rebates to be paid to the respective state Medicaid programs.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20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i w:val="1"/>
          <w:iCs w:val="1"/>
          <w:color w:val="auto"/>
        </w:rPr>
        <w:t>Purchaser/Provider Discounts and Rebates</w:t>
      </w:r>
      <w:r>
        <w:rPr>
          <w:rFonts w:ascii="Times New Roman" w:cs="Times New Roman" w:eastAsia="Times New Roman" w:hAnsi="Times New Roman"/>
          <w:sz w:val="20"/>
          <w:szCs w:val="20"/>
          <w:color w:val="auto"/>
        </w:rPr>
        <w:t>—We offer rebate payments for which ASCs, HOPDs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prescribers qualify by meeting quarterly purchase volumes of DEXTENZA under our volume-based rebate program. We calculate rebate payment amounts due under this program quarterly, based on actual qualifying purchases and apply a contractual discount rate. In the third quarter of 2022, we implemented a separate off-invoice discount, or OID, rebate program whereby end-users receive the discounted price immediately upon purchase, rather than having to wait until the end of the quarter for a rebate payment. The OID amounts are generally determined at the time of resale by specialty distributors, or SDs, or direct sales to ASCs by us. We generally issue credits for such amounts within a few weeks of the SD’s notification to us of the resale. We include the OID on the invoice when we sell to an ASC directly. The calculation of the accrual for all rebates is based on an estimate of claims that we expect to receive associated with product that has been recognized as revenue but also remains in the distribution channel inventories at the end of each reporting period. The adjustments are recorded in the same period the related revenue is recognized, resulting in a reduction of product revenue and the establishment of a current liability which is included as an accrued expenses and other current liabilities for volume-based rebates and as a reduction of accounts receivable for OID rebates.</w:t>
      </w:r>
    </w:p>
    <w:p>
      <w:pPr>
        <w:spacing w:after="0" w:line="202" w:lineRule="exact"/>
        <w:rPr>
          <w:sz w:val="20"/>
          <w:szCs w:val="20"/>
          <w:color w:val="auto"/>
        </w:rPr>
      </w:pPr>
    </w:p>
    <w:p>
      <w:pPr>
        <w:ind w:right="160" w:firstLine="490"/>
        <w:spacing w:after="0" w:line="271" w:lineRule="auto"/>
        <w:rPr>
          <w:sz w:val="20"/>
          <w:szCs w:val="20"/>
          <w:color w:val="auto"/>
        </w:rPr>
      </w:pPr>
      <w:r>
        <w:rPr>
          <w:rFonts w:ascii="Times New Roman" w:cs="Times New Roman" w:eastAsia="Times New Roman" w:hAnsi="Times New Roman"/>
          <w:sz w:val="19"/>
          <w:szCs w:val="19"/>
          <w:i w:val="1"/>
          <w:iCs w:val="1"/>
          <w:color w:val="auto"/>
        </w:rPr>
        <w:t>Other Incentives</w:t>
      </w:r>
      <w:r>
        <w:rPr>
          <w:rFonts w:ascii="Times New Roman" w:cs="Times New Roman" w:eastAsia="Times New Roman" w:hAnsi="Times New Roman"/>
          <w:sz w:val="19"/>
          <w:szCs w:val="19"/>
          <w:color w:val="auto"/>
        </w:rPr>
        <w:t>— Other incentives which we offer include voluntary patient assistance programs, such as the co-pay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assistance program, which are intended to provide financial assistance to qualified commercially-insured patients with prescription drug co-payments required by payors. The calculation of the accrual for co-pay assistance is based on an estimate of claims and the cost per claim that we expect to receive associated with product that has been recognized</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130</w:t>
      </w:r>
    </w:p>
    <w:p>
      <w:pPr>
        <w:sectPr>
          <w:pgSz w:w="11880" w:h="15480" w:orient="portrait"/>
          <w:cols w:equalWidth="0" w:num="1">
            <w:col w:w="9700"/>
          </w:cols>
          <w:pgMar w:left="1080" w:top="1064" w:right="1100" w:bottom="0" w:gutter="0" w:footer="0" w:header="0"/>
          <w:type w:val="continuous"/>
        </w:sectPr>
      </w:pPr>
    </w:p>
    <w:bookmarkStart w:id="132" w:name="page133"/>
    <w:bookmarkEnd w:id="132"/>
    <w:p>
      <w:pPr>
        <w:spacing w:after="0" w:line="253" w:lineRule="auto"/>
        <w:rPr>
          <w:sz w:val="20"/>
          <w:szCs w:val="20"/>
          <w:color w:val="auto"/>
        </w:rPr>
      </w:pPr>
      <w:r>
        <w:rPr>
          <w:rFonts w:ascii="Times New Roman" w:cs="Times New Roman" w:eastAsia="Times New Roman" w:hAnsi="Times New Roman"/>
          <w:sz w:val="20"/>
          <w:szCs w:val="20"/>
          <w:color w:val="auto"/>
        </w:rPr>
        <w:t>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accrued expenses and other current liabilities on the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Liabilities</w:t>
      </w:r>
    </w:p>
    <w:p>
      <w:pPr>
        <w:spacing w:after="0" w:line="23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 Barings Credit Agreement contains the Royalty Fee Derivative Liability, an embedded obligation to pay the Royalty Fee, that meets the criteria to be bifurcated and accounted for separately from the Barings Credit Facility. Royalty payments are estimated using a Monte Carlo simulation. The main inputs when determining the fair value of the Royalty Fee Derivative Liability are the amount and timing of our expected future revenue, the estimated volatility of these revenues, and the discount rate corresponding to the risk of revenue. We measure the value of the Royalty Fee Derivative Liability at its estimated fair value and recognize changes in the estimated fair value in other income (expense), net in the consolidated statements of operations and comprehensive loss during the period of change. The Royalty Fee Derivative Liability is recognized as a derivative liability in our consolidated balance sheet.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42" w:lineRule="exact"/>
        <w:rPr>
          <w:sz w:val="20"/>
          <w:szCs w:val="20"/>
          <w:color w:val="auto"/>
        </w:rPr>
      </w:pPr>
    </w:p>
    <w:p>
      <w:pPr>
        <w:ind w:firstLine="489"/>
        <w:spacing w:after="0" w:line="280" w:lineRule="auto"/>
        <w:rPr>
          <w:sz w:val="20"/>
          <w:szCs w:val="20"/>
          <w:color w:val="auto"/>
        </w:rPr>
      </w:pPr>
      <w:r>
        <w:rPr>
          <w:rFonts w:ascii="Times New Roman" w:cs="Times New Roman" w:eastAsia="Times New Roman" w:hAnsi="Times New Roman"/>
          <w:sz w:val="20"/>
          <w:szCs w:val="20"/>
          <w:color w:val="auto"/>
        </w:rPr>
        <w:t xml:space="preserve">Information regarding new accounting pronouncements is included in Note 2 – </w:t>
      </w:r>
      <w:r>
        <w:rPr>
          <w:rFonts w:ascii="Times New Roman" w:cs="Times New Roman" w:eastAsia="Times New Roman" w:hAnsi="Times New Roman"/>
          <w:sz w:val="20"/>
          <w:szCs w:val="20"/>
          <w:i w:val="1"/>
          <w:iCs w:val="1"/>
          <w:color w:val="auto"/>
        </w:rPr>
        <w:t>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Policies </w:t>
      </w:r>
      <w:r>
        <w:rPr>
          <w:rFonts w:ascii="Times New Roman" w:cs="Times New Roman" w:eastAsia="Times New Roman" w:hAnsi="Times New Roman"/>
          <w:sz w:val="20"/>
          <w:szCs w:val="20"/>
          <w:color w:val="auto"/>
        </w:rPr>
        <w:t>to the current period’s consolidated financial statements.</w:t>
      </w:r>
    </w:p>
    <w:p>
      <w:pPr>
        <w:spacing w:after="0" w:line="15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42" w:lineRule="exact"/>
        <w:rPr>
          <w:sz w:val="20"/>
          <w:szCs w:val="20"/>
          <w:color w:val="auto"/>
        </w:rPr>
      </w:pPr>
    </w:p>
    <w:p>
      <w:pPr>
        <w:ind w:right="20" w:firstLine="489"/>
        <w:spacing w:after="0" w:line="245" w:lineRule="auto"/>
        <w:rPr>
          <w:sz w:val="20"/>
          <w:szCs w:val="20"/>
          <w:color w:val="auto"/>
        </w:rPr>
      </w:pPr>
      <w:r>
        <w:rPr>
          <w:rFonts w:ascii="Times New Roman" w:cs="Times New Roman" w:eastAsia="Times New Roman" w:hAnsi="Times New Roman"/>
          <w:sz w:val="20"/>
          <w:szCs w:val="20"/>
          <w:color w:val="auto"/>
        </w:rPr>
        <w:t>We are exposed to market risk related to changes in interest rates. As of December 31, 2025, we had cash and cash equivalents of $737.1 million, which includes cash in operating bank accounts, and investments in money market funds. We have policies requiring us to invest in high-quality issuers, limit our exposure to any individual issuer, and ensure adequate liquidity. Our primary exposure to market risk related to our cash and cash equivalents is interest-rate sensitivity, which is affected by changes in the general level of U.S. interest rates, particularly because our investments are in short-term securities. Due to the short-term duration of our investment portfolio and the low risk profile of our investments, an immediate 100 basis point change in interest rates would not have a material effect on the fair market value of our portfolio.</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do not enter into financial instruments for trading or speculative purposes.</w:t>
      </w:r>
    </w:p>
    <w:p>
      <w:pPr>
        <w:spacing w:after="0" w:line="240" w:lineRule="exact"/>
        <w:rPr>
          <w:sz w:val="20"/>
          <w:szCs w:val="20"/>
          <w:color w:val="auto"/>
        </w:rPr>
      </w:pPr>
    </w:p>
    <w:p>
      <w:pPr>
        <w:ind w:right="40" w:firstLine="489"/>
        <w:spacing w:after="0" w:line="248" w:lineRule="auto"/>
        <w:rPr>
          <w:sz w:val="20"/>
          <w:szCs w:val="20"/>
          <w:color w:val="auto"/>
        </w:rPr>
      </w:pPr>
      <w:r>
        <w:rPr>
          <w:rFonts w:ascii="Times New Roman" w:cs="Times New Roman" w:eastAsia="Times New Roman" w:hAnsi="Times New Roman"/>
          <w:sz w:val="20"/>
          <w:szCs w:val="20"/>
          <w:color w:val="auto"/>
        </w:rPr>
        <w:t>As of December 31, 2025, we had a secured term loan facility with a principal amount of $82.5 million under a credit and security agreement with Barings Finance LLC and the lenders party thereto, or the Barings Credit Agreement. Expected cash outflows from this financial instrument fluctuate based on changes in the Secured Overnight Financing Rate, or SOFR, which is, among other factors, affected by the general level of U.S. and international central bank interest rates. As of December 31, 2025, an immediate 100 basis point increase or decrease in the SOFR would not have a material effect on the anticipated cash outflows from this instrument.</w:t>
      </w:r>
    </w:p>
    <w:p>
      <w:pPr>
        <w:spacing w:after="0" w:line="194"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We account for the obligation to pay royalty fees embedded in the Barings Credit Agreement as a separate financial instrument, measured at fair value, using a Monte Carlo simulation, which we refer to as the Royalty Fee Derivative Liability. As of December 31, 2025, the Royalty Fee Derivative Liability was valued at $13.9 million. As of December 31, 2025, a 10% increase or decrease of the interest rate used in the valuation model would not have a material effect on the fair value of the Royalty Fee Derivative Liability. Changes of the fair value of the Royalty Fee Derivative Liability have no impact on anticipated cash outflows.</w:t>
      </w:r>
    </w:p>
    <w:p>
      <w:pPr>
        <w:spacing w:after="0" w:line="18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42"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 of our independent registered public accounting firm, appear on pages F-1 through F-37 of this Annual Report on Form 10-K.</w:t>
      </w:r>
    </w:p>
    <w:p>
      <w:pPr>
        <w:spacing w:after="0" w:line="17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131</w:t>
      </w:r>
    </w:p>
    <w:p>
      <w:pPr>
        <w:sectPr>
          <w:pgSz w:w="11880" w:h="15480" w:orient="portrait"/>
          <w:cols w:equalWidth="0" w:num="1">
            <w:col w:w="9700"/>
          </w:cols>
          <w:pgMar w:left="1080" w:top="1064" w:right="1100" w:bottom="0" w:gutter="0" w:footer="0" w:header="0"/>
          <w:type w:val="continuous"/>
        </w:sectPr>
      </w:pPr>
    </w:p>
    <w:bookmarkStart w:id="133" w:name="page134"/>
    <w:bookmarkEnd w:id="133"/>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4"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our principal financial officer, evaluated the effectiveness of our disclosure controls and procedures as of December 31,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including our principal executive officer and our principal financial officer,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principal executive officer and our principal financial officer concluded that, as of such date, our disclosure controls and procedures were effective at the reasonable assurance level.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Ocular Therapeutix, Inc.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4" w:lineRule="exact"/>
        <w:rPr>
          <w:sz w:val="20"/>
          <w:szCs w:val="20"/>
          <w:color w:val="auto"/>
        </w:rPr>
      </w:pPr>
    </w:p>
    <w:p>
      <w:pPr>
        <w:ind w:left="860" w:hanging="363"/>
        <w:spacing w:after="0" w:line="279" w:lineRule="auto"/>
        <w:tabs>
          <w:tab w:leader="none" w:pos="8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179" w:lineRule="exact"/>
        <w:rPr>
          <w:rFonts w:ascii="Arial" w:cs="Arial" w:eastAsia="Arial" w:hAnsi="Arial"/>
          <w:sz w:val="20"/>
          <w:szCs w:val="20"/>
          <w:color w:val="auto"/>
        </w:rPr>
      </w:pPr>
    </w:p>
    <w:p>
      <w:pPr>
        <w:ind w:left="860" w:right="80" w:hanging="363"/>
        <w:spacing w:after="0" w:line="253" w:lineRule="auto"/>
        <w:tabs>
          <w:tab w:leader="none" w:pos="8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3" w:lineRule="exact"/>
        <w:rPr>
          <w:rFonts w:ascii="Arial" w:cs="Arial" w:eastAsia="Arial" w:hAnsi="Arial"/>
          <w:sz w:val="20"/>
          <w:szCs w:val="20"/>
          <w:color w:val="auto"/>
        </w:rPr>
      </w:pPr>
    </w:p>
    <w:p>
      <w:pPr>
        <w:ind w:left="860" w:right="360" w:hanging="363"/>
        <w:spacing w:after="0" w:line="279" w:lineRule="auto"/>
        <w:tabs>
          <w:tab w:leader="none" w:pos="8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auto"/>
        </w:rPr>
        <w:t xml:space="preserve">Our management, including our principal executive officer and our principal financial officer, assessed the effectiveness of our internal control over financial reporting as of December 31, 2025. In making this assessment, management used the criteria set forth by the Committee of Sponsoring Organizations of the Treadway Commission (COSO) in </w:t>
      </w:r>
      <w:r>
        <w:rPr>
          <w:rFonts w:ascii="Times New Roman" w:cs="Times New Roman" w:eastAsia="Times New Roman" w:hAnsi="Times New Roman"/>
          <w:sz w:val="20"/>
          <w:szCs w:val="20"/>
          <w:i w:val="1"/>
          <w:iCs w:val="1"/>
          <w:color w:val="auto"/>
        </w:rPr>
        <w:t>Internal Control—Integrated Framework (2013)</w:t>
      </w:r>
      <w:r>
        <w:rPr>
          <w:rFonts w:ascii="Times New Roman" w:cs="Times New Roman" w:eastAsia="Times New Roman" w:hAnsi="Times New Roman"/>
          <w:sz w:val="20"/>
          <w:szCs w:val="20"/>
          <w:color w:val="auto"/>
        </w:rPr>
        <w:t>. Based on that assessment, our management concluded that, as of December 31, 2025, our internal control over financial reporting was effective.</w:t>
      </w:r>
    </w:p>
    <w:p>
      <w:pPr>
        <w:spacing w:after="0" w:line="192" w:lineRule="exact"/>
        <w:rPr>
          <w:sz w:val="20"/>
          <w:szCs w:val="20"/>
          <w:color w:val="auto"/>
        </w:rPr>
      </w:pPr>
    </w:p>
    <w:p>
      <w:pPr>
        <w:ind w:right="120" w:firstLine="490"/>
        <w:spacing w:after="0" w:line="260"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PricewaterhouseCoopers LLP, an independent registered public accounting firm, as stated in their report which appears in this Annual Report on Form 10-K.</w:t>
      </w:r>
    </w:p>
    <w:p>
      <w:pPr>
        <w:sectPr>
          <w:pgSz w:w="11880" w:h="15480" w:orient="portrait"/>
          <w:cols w:equalWidth="0" w:num="1">
            <w:col w:w="9680"/>
          </w:cols>
          <w:pgMar w:left="1080" w:top="1062"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132</w:t>
      </w:r>
    </w:p>
    <w:p>
      <w:pPr>
        <w:sectPr>
          <w:pgSz w:w="11880" w:h="15480" w:orient="portrait"/>
          <w:cols w:equalWidth="0" w:num="1">
            <w:col w:w="9680"/>
          </w:cols>
          <w:pgMar w:left="1080" w:top="1062" w:right="112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2"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20"/>
          <w:szCs w:val="20"/>
          <w:color w:val="auto"/>
        </w:rPr>
        <w:t>No change in our internal control over financial reporting (as defined in Rules 13a-15(f) and 15d-15(f) under the Exchange Act) occurred during the quarter ended December 31, 2025 that has materially affected, or is reasonably likely to materially affect, our internal control over financial reporting.</w:t>
      </w:r>
    </w:p>
    <w:p>
      <w:pPr>
        <w:spacing w:after="0" w:line="17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of 2019 Inducement Stock Incentive Plan</w:t>
      </w:r>
    </w:p>
    <w:p>
      <w:pPr>
        <w:spacing w:after="0" w:line="236" w:lineRule="exact"/>
        <w:rPr>
          <w:sz w:val="20"/>
          <w:szCs w:val="20"/>
          <w:color w:val="auto"/>
        </w:rPr>
      </w:pPr>
    </w:p>
    <w:p>
      <w:pPr>
        <w:ind w:right="180" w:firstLine="490"/>
        <w:spacing w:after="0" w:line="280" w:lineRule="auto"/>
        <w:rPr>
          <w:sz w:val="20"/>
          <w:szCs w:val="20"/>
          <w:color w:val="auto"/>
        </w:rPr>
      </w:pPr>
      <w:r>
        <w:rPr>
          <w:rFonts w:ascii="Times New Roman" w:cs="Times New Roman" w:eastAsia="Times New Roman" w:hAnsi="Times New Roman"/>
          <w:sz w:val="20"/>
          <w:szCs w:val="20"/>
          <w:color w:val="auto"/>
        </w:rPr>
        <w:t>On February 4, 2026, our board of directors amended the 2019 Inducement Stock Incentive Plan, as amended, to increase the aggregate number of shares issuable thereunder from 6,054,000 to 7,028,000 shares of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10b5-1 Plan Disclosures</w:t>
      </w:r>
    </w:p>
    <w:p>
      <w:pPr>
        <w:spacing w:after="0" w:line="236" w:lineRule="exact"/>
        <w:rPr>
          <w:sz w:val="20"/>
          <w:szCs w:val="20"/>
          <w:color w:val="auto"/>
        </w:rPr>
      </w:pPr>
    </w:p>
    <w:p>
      <w:pPr>
        <w:ind w:right="220" w:firstLine="490"/>
        <w:spacing w:after="0" w:line="250" w:lineRule="auto"/>
        <w:rPr>
          <w:sz w:val="20"/>
          <w:szCs w:val="20"/>
          <w:color w:val="auto"/>
        </w:rPr>
      </w:pPr>
      <w:r>
        <w:rPr>
          <w:rFonts w:ascii="Times New Roman" w:cs="Times New Roman" w:eastAsia="Times New Roman" w:hAnsi="Times New Roman"/>
          <w:sz w:val="20"/>
          <w:szCs w:val="20"/>
          <w:color w:val="auto"/>
        </w:rPr>
        <w:t>A portion of the compensation of our directors and officers (as defined in Rule 16a-1(f) under the Securities Exchange Act of 1934, as amended, or the Exchange Act) is in the form of equity awards, including stock options and restricted stock units, or RSUs, and, from time to time, directors and officers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spacing w:after="0" w:line="193"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20"/>
          <w:szCs w:val="20"/>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spacing w:after="0" w:line="232" w:lineRule="exact"/>
        <w:rPr>
          <w:sz w:val="20"/>
          <w:szCs w:val="20"/>
          <w:color w:val="auto"/>
        </w:rPr>
      </w:pPr>
    </w:p>
    <w:p>
      <w:pPr>
        <w:ind w:right="120" w:firstLine="489"/>
        <w:spacing w:after="0" w:line="253" w:lineRule="auto"/>
        <w:rPr>
          <w:sz w:val="20"/>
          <w:szCs w:val="20"/>
          <w:color w:val="auto"/>
        </w:rPr>
      </w:pPr>
      <w:r>
        <w:rPr>
          <w:rFonts w:ascii="Times New Roman" w:cs="Times New Roman" w:eastAsia="Times New Roman" w:hAnsi="Times New Roman"/>
          <w:sz w:val="20"/>
          <w:szCs w:val="20"/>
          <w:color w:val="auto"/>
        </w:rPr>
        <w:t>During the fourth quarter of 2025, none of our directors and officers adopted or terminated a trading arrangement for the sale or purchase of our securities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22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680"/>
          </w:cols>
          <w:pgMar w:left="1080" w:top="1062"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133</w:t>
      </w:r>
    </w:p>
    <w:p>
      <w:pPr>
        <w:sectPr>
          <w:pgSz w:w="11880" w:h="15480" w:orient="portrait"/>
          <w:cols w:equalWidth="0" w:num="1">
            <w:col w:w="9680"/>
          </w:cols>
          <w:pgMar w:left="1080" w:top="1062" w:right="1120" w:bottom="0" w:gutter="0" w:footer="0" w:header="0"/>
          <w:type w:val="continuous"/>
        </w:sectPr>
      </w:pPr>
    </w:p>
    <w:bookmarkStart w:id="135" w:name="page136"/>
    <w:bookmarkEnd w:id="135"/>
    <w:p>
      <w:pPr>
        <w:ind w:left="44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Directors, Executive Officers and Corporate Governance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and Executive Officers</w:t>
      </w:r>
    </w:p>
    <w:p>
      <w:pPr>
        <w:spacing w:after="0" w:line="242" w:lineRule="exact"/>
        <w:rPr>
          <w:sz w:val="20"/>
          <w:szCs w:val="20"/>
          <w:color w:val="auto"/>
        </w:rPr>
      </w:pPr>
    </w:p>
    <w:p>
      <w:pPr>
        <w:ind w:right="30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and is incorporated in this Annual Report on Form 10-K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42" w:lineRule="exact"/>
        <w:rPr>
          <w:sz w:val="20"/>
          <w:szCs w:val="20"/>
          <w:color w:val="auto"/>
        </w:rPr>
      </w:pPr>
    </w:p>
    <w:p>
      <w:pPr>
        <w:ind w:right="30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if applicable, and is incorporated in this Annual Report on Form 10-K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242"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our directors and officers (including our principal executive officer, principal financial officer, principal accounting officer or controller, or persons performing similar functions) as well as our other employees. A copy of our code of business conduct and ethics is available on our website. We intend to post on our website all disclosures that are required by applicable law, the rules of the Securities and Exchange Commission or the Nasdaq Global Market concerning any amendment to, or waiver of, our code of business conduct and ethics.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Nominees</w:t>
      </w:r>
    </w:p>
    <w:p>
      <w:pPr>
        <w:spacing w:after="0" w:line="242" w:lineRule="exact"/>
        <w:rPr>
          <w:sz w:val="20"/>
          <w:szCs w:val="20"/>
          <w:color w:val="auto"/>
        </w:rPr>
      </w:pPr>
    </w:p>
    <w:p>
      <w:pPr>
        <w:ind w:right="30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and is incorporated in this Annual Report on Form 10-K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242"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have separately designated a standing Audit Committee established in accordance with Section 3(a)(58)(A) of the Securities Exchange Act of 1934, as amended, or the Exchange Act. Additional information regarding the Audit Committee that is required by this item will be set forth in our Proxy Statement for the 2026 Annual Meeting of Stockholders and is incorporated in this Annual Report on Form 10-K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Financial Expert</w:t>
      </w:r>
    </w:p>
    <w:p>
      <w:pPr>
        <w:spacing w:after="0" w:line="242" w:lineRule="exact"/>
        <w:rPr>
          <w:sz w:val="20"/>
          <w:szCs w:val="20"/>
          <w:color w:val="auto"/>
        </w:rPr>
      </w:pPr>
    </w:p>
    <w:p>
      <w:pPr>
        <w:jc w:val="both"/>
        <w:ind w:right="200" w:firstLine="489"/>
        <w:spacing w:after="0" w:line="260" w:lineRule="auto"/>
        <w:rPr>
          <w:sz w:val="20"/>
          <w:szCs w:val="20"/>
          <w:color w:val="auto"/>
        </w:rPr>
      </w:pPr>
      <w:r>
        <w:rPr>
          <w:rFonts w:ascii="Times New Roman" w:cs="Times New Roman" w:eastAsia="Times New Roman" w:hAnsi="Times New Roman"/>
          <w:sz w:val="20"/>
          <w:szCs w:val="20"/>
          <w:color w:val="auto"/>
        </w:rPr>
        <w:t>Our board of directors has determined that Merilee Raines qualifies as an “audit committee financial expert” as defined by Item 407(d)(5) of Regulation S-K of the Exchange Act and is “independent” under the rules of the Nasdaq Global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Policies and Procedures</w:t>
      </w:r>
    </w:p>
    <w:p>
      <w:pPr>
        <w:spacing w:after="0" w:line="244" w:lineRule="exact"/>
        <w:rPr>
          <w:sz w:val="20"/>
          <w:szCs w:val="20"/>
          <w:color w:val="auto"/>
        </w:rPr>
      </w:pPr>
    </w:p>
    <w:p>
      <w:pPr>
        <w:ind w:right="30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and is incorporated in this Annual Report on Form 10-K by reference.</w:t>
      </w:r>
    </w:p>
    <w:p>
      <w:pPr>
        <w:sectPr>
          <w:pgSz w:w="11880" w:h="15480" w:orient="portrait"/>
          <w:cols w:equalWidth="0" w:num="1">
            <w:col w:w="9620"/>
          </w:cols>
          <w:pgMar w:left="1080" w:top="106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134</w:t>
      </w:r>
    </w:p>
    <w:p>
      <w:pPr>
        <w:sectPr>
          <w:pgSz w:w="11880" w:h="15480" w:orient="portrait"/>
          <w:cols w:equalWidth="0" w:num="1">
            <w:col w:w="9620"/>
          </w:cols>
          <w:pgMar w:left="1080" w:top="1062" w:right="1180" w:bottom="0" w:gutter="0" w:footer="0" w:header="0"/>
          <w:type w:val="continuous"/>
        </w:sectPr>
      </w:pPr>
    </w:p>
    <w:bookmarkStart w:id="136" w:name="page137"/>
    <w:bookmarkEnd w:id="136"/>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Executive Compensation</w:t>
      </w:r>
    </w:p>
    <w:p>
      <w:pPr>
        <w:spacing w:after="0" w:line="242" w:lineRule="exact"/>
        <w:rPr>
          <w:sz w:val="20"/>
          <w:szCs w:val="20"/>
          <w:color w:val="auto"/>
        </w:rPr>
      </w:pPr>
    </w:p>
    <w:p>
      <w:pPr>
        <w:ind w:right="4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and is incorporated in this Annual Report on Form 10-K by reference.</w:t>
      </w:r>
    </w:p>
    <w:p>
      <w:pPr>
        <w:spacing w:after="0" w:line="160" w:lineRule="exact"/>
        <w:rPr>
          <w:sz w:val="20"/>
          <w:szCs w:val="20"/>
          <w:color w:val="auto"/>
        </w:rPr>
      </w:pPr>
    </w:p>
    <w:p>
      <w:pPr>
        <w:ind w:left="1120" w:right="300" w:hanging="1108"/>
        <w:spacing w:after="0" w:line="288" w:lineRule="auto"/>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152" w:lineRule="exact"/>
        <w:rPr>
          <w:sz w:val="20"/>
          <w:szCs w:val="20"/>
          <w:color w:val="auto"/>
        </w:rPr>
      </w:pPr>
    </w:p>
    <w:p>
      <w:pPr>
        <w:ind w:right="4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and is incorporated in this Annual Report on Form 10-K by reference.</w:t>
      </w:r>
    </w:p>
    <w:p>
      <w:pPr>
        <w:spacing w:after="0" w:line="16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b w:val="1"/>
          <w:bCs w:val="1"/>
          <w:color w:val="auto"/>
        </w:rPr>
        <w:t>Certain Relationships and Related Transactions, and Director Independence</w:t>
      </w:r>
    </w:p>
    <w:p>
      <w:pPr>
        <w:spacing w:after="0" w:line="244" w:lineRule="exact"/>
        <w:rPr>
          <w:sz w:val="20"/>
          <w:szCs w:val="20"/>
          <w:color w:val="auto"/>
        </w:rPr>
      </w:pPr>
    </w:p>
    <w:p>
      <w:pPr>
        <w:ind w:right="4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and is incorporated in this Annual Report on Form 10-K by reference.</w:t>
      </w:r>
    </w:p>
    <w:p>
      <w:pPr>
        <w:spacing w:after="0" w:line="16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244" w:lineRule="exact"/>
        <w:rPr>
          <w:sz w:val="20"/>
          <w:szCs w:val="20"/>
          <w:color w:val="auto"/>
        </w:rPr>
      </w:pPr>
    </w:p>
    <w:p>
      <w:pPr>
        <w:ind w:right="40" w:firstLine="49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2026 Annual Meeting of Stockholders and is incorporated in this Annual Report on Form 10-K by reference.</w:t>
      </w:r>
    </w:p>
    <w:p>
      <w:pPr>
        <w:sectPr>
          <w:pgSz w:w="11880" w:h="15480" w:orient="portrait"/>
          <w:cols w:equalWidth="0" w:num="1">
            <w:col w:w="9360"/>
          </w:cols>
          <w:pgMar w:left="1080" w:top="106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135</w:t>
      </w:r>
    </w:p>
    <w:p>
      <w:pPr>
        <w:sectPr>
          <w:pgSz w:w="11880" w:h="15480" w:orient="portrait"/>
          <w:cols w:equalWidth="0" w:num="1">
            <w:col w:w="9360"/>
          </w:cols>
          <w:pgMar w:left="1080" w:top="1062" w:right="1440" w:bottom="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76"/>
        </w:trPr>
        <w:tc>
          <w:tcPr>
            <w:tcW w:w="940" w:type="dxa"/>
            <w:vAlign w:val="bottom"/>
          </w:tcPr>
          <w:p>
            <w:pPr>
              <w:spacing w:after="0"/>
              <w:rPr>
                <w:sz w:val="23"/>
                <w:szCs w:val="23"/>
                <w:color w:val="auto"/>
              </w:rPr>
            </w:pPr>
          </w:p>
        </w:tc>
        <w:tc>
          <w:tcPr>
            <w:tcW w:w="7980" w:type="dxa"/>
            <w:vAlign w:val="bottom"/>
          </w:tcPr>
          <w:p>
            <w:pPr>
              <w:ind w:left="352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15.</w:t>
            </w:r>
          </w:p>
        </w:tc>
        <w:tc>
          <w:tcPr>
            <w:tcW w:w="79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Exhibits, Financial Statement Schedules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9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The following financial statements are filed as part of this Annual Report on Form 10-K:</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98"/>
        </w:trPr>
        <w:tc>
          <w:tcPr>
            <w:tcW w:w="8920" w:type="dxa"/>
            <w:vAlign w:val="bottom"/>
            <w:gridSpan w:val="2"/>
            <w:vMerge w:val="continue"/>
          </w:tcPr>
          <w:p>
            <w:pPr>
              <w:ind w:left="6220"/>
              <w:spacing w:after="0" w:line="177" w:lineRule="exact"/>
              <w:rPr>
                <w:sz w:val="20"/>
                <w:szCs w:val="20"/>
                <w:color w:val="auto"/>
              </w:rPr>
            </w:pPr>
            <w:r>
              <w:rPr>
                <w:rFonts w:ascii="Times New Roman" w:cs="Times New Roman" w:eastAsia="Times New Roman" w:hAnsi="Times New Roman"/>
                <w:sz w:val="20"/>
                <w:szCs w:val="20"/>
                <w:color w:val="auto"/>
              </w:rPr>
              <w:t>. . . . . . . . . . . . . . . . . . . . . . . . . .</w:t>
            </w:r>
          </w:p>
        </w:tc>
        <w:tc>
          <w:tcPr>
            <w:tcW w:w="80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Consolidated Balance Sheets . . . . . . . . . . . . . . . . . . . . . . . . . . . . . . . . . . . . . . . . . . . . . . . . . . . . . . . . . . . . . . . . . .</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 . . . . . . . . . . . . . . . . . . . . . . . . . . . . . . . . . . .</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29"/>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 (Deficit) . . . . . . . . . . . . . . . . . . . . . . . . . . . . . . . .</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 . . . . . .</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68"/>
        </w:trPr>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 . . . . .</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80" w:firstLine="490"/>
        <w:spacing w:after="0" w:line="260" w:lineRule="auto"/>
        <w:rPr>
          <w:sz w:val="20"/>
          <w:szCs w:val="20"/>
          <w:color w:val="auto"/>
        </w:rPr>
      </w:pPr>
      <w:r>
        <w:rPr>
          <w:rFonts w:ascii="Times New Roman" w:cs="Times New Roman" w:eastAsia="Times New Roman" w:hAnsi="Times New Roman"/>
          <w:sz w:val="20"/>
          <w:szCs w:val="20"/>
          <w:color w:val="auto"/>
        </w:rPr>
        <w:t>No financial statement schedules have been filed as part of this Annual Report on Form 10-K because they are not applicable, not required or because the information is otherwise included in our consolidated financial statements or notes thereto.</w:t>
      </w:r>
    </w:p>
    <w:p>
      <w:pPr>
        <w:spacing w:after="0" w:line="183" w:lineRule="exact"/>
        <w:rPr>
          <w:sz w:val="20"/>
          <w:szCs w:val="20"/>
          <w:color w:val="auto"/>
        </w:rPr>
      </w:pPr>
    </w:p>
    <w:p>
      <w:pPr>
        <w:ind w:right="500" w:firstLine="490"/>
        <w:spacing w:after="0" w:line="280" w:lineRule="auto"/>
        <w:rPr>
          <w:sz w:val="20"/>
          <w:szCs w:val="20"/>
          <w:color w:val="auto"/>
        </w:rPr>
      </w:pPr>
      <w:r>
        <w:rPr>
          <w:rFonts w:ascii="Times New Roman" w:cs="Times New Roman" w:eastAsia="Times New Roman" w:hAnsi="Times New Roman"/>
          <w:sz w:val="20"/>
          <w:szCs w:val="20"/>
          <w:color w:val="auto"/>
        </w:rPr>
        <w:t>The exhibits filed as part of this Annual Report on Form 10-K are set forth on the Exhibit Index immediately following Item 16. The Exhibit Index is incorporated herein by reference.</w:t>
      </w:r>
    </w:p>
    <w:p>
      <w:pPr>
        <w:spacing w:after="0" w:line="16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720"/>
          </w:cols>
          <w:pgMar w:left="1080" w:top="108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1880" w:h="15480" w:orient="portrait"/>
          <w:cols w:equalWidth="0" w:num="1">
            <w:col w:w="9720"/>
          </w:cols>
          <w:pgMar w:left="1080" w:top="1085" w:right="1080" w:bottom="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55"/>
        </w:trPr>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Date of</w:t>
            </w:r>
          </w:p>
        </w:tc>
        <w:tc>
          <w:tcPr>
            <w:tcW w:w="14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6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99"/>
        </w:trPr>
        <w:tc>
          <w:tcPr>
            <w:tcW w:w="76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5"/>
              </w:rPr>
              <w:t>3.1</w:t>
            </w:r>
          </w:p>
        </w:tc>
        <w:tc>
          <w:tcPr>
            <w:tcW w:w="240" w:type="dxa"/>
            <w:vAlign w:val="bottom"/>
          </w:tcPr>
          <w:p>
            <w:pPr>
              <w:spacing w:after="0"/>
              <w:rPr>
                <w:sz w:val="17"/>
                <w:szCs w:val="17"/>
                <w:color w:val="auto"/>
              </w:rPr>
            </w:pPr>
          </w:p>
        </w:tc>
        <w:tc>
          <w:tcPr>
            <w:tcW w:w="370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Restated Certificate of Incorporation of the</w:t>
            </w:r>
          </w:p>
        </w:tc>
        <w:tc>
          <w:tcPr>
            <w:tcW w:w="220" w:type="dxa"/>
            <w:vAlign w:val="bottom"/>
          </w:tcPr>
          <w:p>
            <w:pPr>
              <w:spacing w:after="0"/>
              <w:rPr>
                <w:sz w:val="17"/>
                <w:szCs w:val="17"/>
                <w:color w:val="auto"/>
              </w:rPr>
            </w:pPr>
          </w:p>
        </w:tc>
        <w:tc>
          <w:tcPr>
            <w:tcW w:w="64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7"/>
              </w:rPr>
              <w:t>10-Q</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rPr>
              <w:t>001-36554</w:t>
            </w:r>
          </w:p>
        </w:tc>
        <w:tc>
          <w:tcPr>
            <w:tcW w:w="160" w:type="dxa"/>
            <w:vAlign w:val="bottom"/>
          </w:tcPr>
          <w:p>
            <w:pPr>
              <w:spacing w:after="0"/>
              <w:rPr>
                <w:sz w:val="17"/>
                <w:szCs w:val="17"/>
                <w:color w:val="auto"/>
              </w:rPr>
            </w:pPr>
          </w:p>
        </w:tc>
        <w:tc>
          <w:tcPr>
            <w:tcW w:w="100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8"/>
              </w:rPr>
              <w:t>11/4/2025</w:t>
            </w:r>
          </w:p>
        </w:tc>
        <w:tc>
          <w:tcPr>
            <w:tcW w:w="140" w:type="dxa"/>
            <w:vAlign w:val="bottom"/>
          </w:tcPr>
          <w:p>
            <w:pPr>
              <w:spacing w:after="0"/>
              <w:rPr>
                <w:sz w:val="17"/>
                <w:szCs w:val="17"/>
                <w:color w:val="auto"/>
              </w:rPr>
            </w:pPr>
          </w:p>
        </w:tc>
        <w:tc>
          <w:tcPr>
            <w:tcW w:w="84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as amended</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Amended and Restated By-laws of the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7/30/2014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4. 1</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Stock Certificate evidencing the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333-196932</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7/11/2014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5"/>
              </w:rPr>
              <w:t>4.1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of common stock</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Registration Rights Agreement, dated as of</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2/22/2024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February 21, 2024, by and among the</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and the other parties thereto</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Pre-Funded Warrant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2/22/2024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Securities Registered under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12 of the Exchange Act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10. 1+</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2014 Stock Incentive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333-196932</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7/11/2014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10. 2+</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Incentive Stock Option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333-196932</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7/11/2014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under 2014 Stock 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10. 3+</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Non-statutory Stock Option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333-196932</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7/11/2014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under 2014 Stock 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10. 4+</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Restricted Stock Agreement under</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333-196932</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7/11/2014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2014 Stock 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10. 5+</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2019 Inducement Stock Incentive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11/12/2019</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2019 Inducement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3/11/2021</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10.9</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10. 7+</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Amendment No. 2 to 2019 Inducement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2/22/2024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10. 8+</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Amendment No. 3 to 2019 Inducement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4/18/2024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99.1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10. 9+</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Amendment No. 4 to 2019 Inducement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10/9/2024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99.1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10.10+</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Non-statutory Stock Option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11/12/2019</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Agreement under 2019 Inducement Stock</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10.11+</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Restricted Stock Unit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3/11/2024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under 2019 Inducement Stock Incentive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10.12†</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Amended and Restated License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5/7/2024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dated January 27, 2012, between the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Incept LLC</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1" w:right="108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1880" w:h="15480" w:orient="portrait"/>
          <w:cols w:equalWidth="0" w:num="1">
            <w:col w:w="9720"/>
          </w:cols>
          <w:pgMar w:left="1080" w:top="1061" w:right="1080" w:bottom="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03"/>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55"/>
        </w:trPr>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Date of</w:t>
            </w:r>
          </w:p>
        </w:tc>
        <w:tc>
          <w:tcPr>
            <w:tcW w:w="14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37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2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60" w:type="dxa"/>
            <w:vAlign w:val="bottom"/>
          </w:tcPr>
          <w:p>
            <w:pPr>
              <w:spacing w:after="0"/>
              <w:rPr>
                <w:sz w:val="17"/>
                <w:szCs w:val="17"/>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4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1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7"/>
              </w:rPr>
              <w:t>10. 13</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Lease Agreement dated September 2, 2009,</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5"/>
              </w:rPr>
              <w:t>S- 1</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333-196932</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6/20/2014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and between the Registrant and</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RAR2-Crosby Corporate Center QRS, Inc.,</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amended.</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10.14+</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Amended and Restated 2014 Employee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8/5/2025</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Purchase Plan</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10.15</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Indemnification Agreement by and</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5"/>
              </w:rPr>
              <w:t>S- 1</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333-196932</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6/20/2014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between the Registrant and each of its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directors and executive officers</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7"/>
              </w:rPr>
              <w:t>10. 16</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Lease Agreement dated June 17, 2016</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8/9/2016</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the WS NF 15 Crosby Drive, LLC</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the Registrant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Open Market Sale Agreement, dated as of</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8/9/2021</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August 9, 2021, by and between the</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and Jefferies LLC</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10.18+</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Separation Agreement by and between the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8/7/2024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Antony C. Mattessich, dated</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May 1, 2024</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10.19+</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Non-Statutory Stock Option Agreement, by</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6/22/2017</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between the Registrant and Antony C.</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Mattessich dated as of June 20, 2017</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10.20+</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9/25/2017</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Donald Notman, dated as of</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September 25, 2017</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10.21</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Amendment to Lease, by and</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10/16/2017</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the Registrant and CCC Investors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 dated October 10, 2017</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7"/>
              </w:rPr>
              <w:t>10. 22</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Third Amendment to Lease, by and between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7/7/2023</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Registrant and Cobalt PropCo 2020 LLC,</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June 30, 2023</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10.23†</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Amended and Restated License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9/19/2018</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Agreement, dated September 13, 2018, by</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and between the Registrant and Incept LLC</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10.24</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Securities Purchase Agreement, dated</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2/22/2024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February 21, 2024, by and among the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and the other parties thereto</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10.25*</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License Agreement, by and between the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11/5/2020</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AffaMed Therapeutics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Limited, dated as of October 29, 2020</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1880" w:h="15480" w:orient="portrait"/>
          <w:cols w:equalWidth="0" w:num="1">
            <w:col w:w="9720"/>
          </w:cols>
          <w:pgMar w:left="1080" w:top="1067" w:right="1080" w:bottom="0" w:gutter="0" w:footer="0" w:header="0"/>
          <w:type w:val="continuous"/>
        </w:sectPr>
      </w:pPr>
    </w:p>
    <w:bookmarkStart w:id="140" w:name="page141"/>
    <w:bookmarkEnd w:id="140"/>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3720" w:type="dxa"/>
            <w:vAlign w:val="bottom"/>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188"/>
        </w:trPr>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20"/>
                <w:szCs w:val="20"/>
                <w:color w:val="auto"/>
              </w:rPr>
              <w:t>10.26*</w:t>
            </w:r>
          </w:p>
        </w:tc>
        <w:tc>
          <w:tcPr>
            <w:tcW w:w="240" w:type="dxa"/>
            <w:vAlign w:val="bottom"/>
          </w:tcPr>
          <w:p>
            <w:pPr>
              <w:spacing w:after="0"/>
              <w:rPr>
                <w:sz w:val="16"/>
                <w:szCs w:val="16"/>
                <w:color w:val="auto"/>
              </w:rPr>
            </w:pPr>
          </w:p>
        </w:tc>
        <w:tc>
          <w:tcPr>
            <w:tcW w:w="37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20"/>
                <w:szCs w:val="20"/>
                <w:color w:val="auto"/>
              </w:rPr>
              <w:t>Supplement to License Agreement, by and</w:t>
            </w:r>
          </w:p>
        </w:tc>
        <w:tc>
          <w:tcPr>
            <w:tcW w:w="2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between the Registrant and AffaMed</w:t>
            </w:r>
          </w:p>
        </w:tc>
      </w:tr>
      <w:tr>
        <w:trPr>
          <w:trHeight w:val="230"/>
        </w:trPr>
        <w:tc>
          <w:tcPr>
            <w:tcW w:w="760" w:type="dxa"/>
            <w:vAlign w:val="bottom"/>
          </w:tcPr>
          <w:p>
            <w:pPr>
              <w:spacing w:after="0"/>
              <w:rPr>
                <w:sz w:val="20"/>
                <w:szCs w:val="20"/>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Therapeutics Limited, dated as of January 18,</w:t>
            </w:r>
          </w:p>
        </w:tc>
      </w:tr>
      <w:tr>
        <w:trPr>
          <w:trHeight w:val="268"/>
        </w:trPr>
        <w:tc>
          <w:tcPr>
            <w:tcW w:w="760" w:type="dxa"/>
            <w:vAlign w:val="bottom"/>
          </w:tcPr>
          <w:p>
            <w:pPr>
              <w:spacing w:after="0"/>
              <w:rPr>
                <w:sz w:val="23"/>
                <w:szCs w:val="23"/>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2021</w:t>
            </w:r>
          </w:p>
        </w:tc>
        <w:tc>
          <w:tcPr>
            <w:tcW w:w="20" w:type="dxa"/>
            <w:vAlign w:val="bottom"/>
          </w:tcPr>
          <w:p>
            <w:pPr>
              <w:spacing w:after="0"/>
              <w:rPr>
                <w:sz w:val="23"/>
                <w:szCs w:val="23"/>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10.27</w:t>
            </w:r>
          </w:p>
        </w:tc>
        <w:tc>
          <w:tcPr>
            <w:tcW w:w="24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Credit and Security Agreement, dated</w:t>
            </w: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August 2, 2023, by and among Barings</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Finance LLC, as administrative agent, the</w:t>
            </w: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and the Lenders listed therein</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10.28+</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2021 Stock Incentive Plan, as amended</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10.29+</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Option Grant Agreement under 2021</w:t>
            </w:r>
          </w:p>
        </w:tc>
      </w:tr>
      <w:tr>
        <w:trPr>
          <w:trHeight w:val="268"/>
        </w:trPr>
        <w:tc>
          <w:tcPr>
            <w:tcW w:w="760" w:type="dxa"/>
            <w:vAlign w:val="bottom"/>
          </w:tcPr>
          <w:p>
            <w:pPr>
              <w:spacing w:after="0"/>
              <w:rPr>
                <w:sz w:val="23"/>
                <w:szCs w:val="23"/>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Stock Incentive Plan</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10.30+</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Form of Restricted Stock Unit Agreement</w:t>
            </w:r>
          </w:p>
        </w:tc>
      </w:tr>
      <w:tr>
        <w:trPr>
          <w:trHeight w:val="268"/>
        </w:trPr>
        <w:tc>
          <w:tcPr>
            <w:tcW w:w="760" w:type="dxa"/>
            <w:vAlign w:val="bottom"/>
          </w:tcPr>
          <w:p>
            <w:pPr>
              <w:spacing w:after="0"/>
              <w:rPr>
                <w:sz w:val="23"/>
                <w:szCs w:val="23"/>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under 2021 Stock Incentive Plan</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7"/>
              </w:rPr>
              <w:t>10. 31</w:t>
            </w:r>
          </w:p>
        </w:tc>
        <w:tc>
          <w:tcPr>
            <w:tcW w:w="24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License Agreement, by</w:t>
            </w:r>
          </w:p>
        </w:tc>
      </w:tr>
      <w:tr>
        <w:trPr>
          <w:trHeight w:val="230"/>
        </w:trPr>
        <w:tc>
          <w:tcPr>
            <w:tcW w:w="760" w:type="dxa"/>
            <w:vAlign w:val="bottom"/>
          </w:tcPr>
          <w:p>
            <w:pPr>
              <w:spacing w:after="0"/>
              <w:rPr>
                <w:sz w:val="20"/>
                <w:szCs w:val="20"/>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and between the Registrant and AffaMed</w:t>
            </w:r>
          </w:p>
        </w:tc>
      </w:tr>
      <w:tr>
        <w:trPr>
          <w:trHeight w:val="229"/>
        </w:trPr>
        <w:tc>
          <w:tcPr>
            <w:tcW w:w="760" w:type="dxa"/>
            <w:vAlign w:val="bottom"/>
          </w:tcPr>
          <w:p>
            <w:pPr>
              <w:spacing w:after="0"/>
              <w:rPr>
                <w:sz w:val="19"/>
                <w:szCs w:val="19"/>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Therapeutics (HK) Limited, dated as of</w:t>
            </w:r>
          </w:p>
        </w:tc>
      </w:tr>
      <w:tr>
        <w:trPr>
          <w:trHeight w:val="269"/>
        </w:trPr>
        <w:tc>
          <w:tcPr>
            <w:tcW w:w="760" w:type="dxa"/>
            <w:vAlign w:val="bottom"/>
          </w:tcPr>
          <w:p>
            <w:pPr>
              <w:spacing w:after="0"/>
              <w:rPr>
                <w:sz w:val="23"/>
                <w:szCs w:val="23"/>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October 28, 2021</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10.32+</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r>
      <w:tr>
        <w:trPr>
          <w:trHeight w:val="230"/>
        </w:trPr>
        <w:tc>
          <w:tcPr>
            <w:tcW w:w="760" w:type="dxa"/>
            <w:vAlign w:val="bottom"/>
          </w:tcPr>
          <w:p>
            <w:pPr>
              <w:spacing w:after="0"/>
              <w:rPr>
                <w:sz w:val="20"/>
                <w:szCs w:val="20"/>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Dr. Pravin U. Dugel, dated as</w:t>
            </w:r>
          </w:p>
        </w:tc>
      </w:tr>
      <w:tr>
        <w:trPr>
          <w:trHeight w:val="269"/>
        </w:trPr>
        <w:tc>
          <w:tcPr>
            <w:tcW w:w="760" w:type="dxa"/>
            <w:vAlign w:val="bottom"/>
          </w:tcPr>
          <w:p>
            <w:pPr>
              <w:spacing w:after="0"/>
              <w:rPr>
                <w:sz w:val="23"/>
                <w:szCs w:val="23"/>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of February 21, 2024</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10.33+</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and Dr. Sanjay Nayak, dated as of</w:t>
            </w: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February 21, 2024</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10.34+</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r>
      <w:tr>
        <w:trPr>
          <w:trHeight w:val="229"/>
        </w:trPr>
        <w:tc>
          <w:tcPr>
            <w:tcW w:w="760" w:type="dxa"/>
            <w:vAlign w:val="bottom"/>
          </w:tcPr>
          <w:p>
            <w:pPr>
              <w:spacing w:after="0"/>
              <w:rPr>
                <w:sz w:val="19"/>
                <w:szCs w:val="19"/>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Nadia Waheed, dated April 15,</w:t>
            </w:r>
          </w:p>
        </w:tc>
      </w:tr>
      <w:tr>
        <w:trPr>
          <w:trHeight w:val="268"/>
        </w:trPr>
        <w:tc>
          <w:tcPr>
            <w:tcW w:w="760" w:type="dxa"/>
            <w:vAlign w:val="bottom"/>
          </w:tcPr>
          <w:p>
            <w:pPr>
              <w:spacing w:after="0"/>
              <w:rPr>
                <w:sz w:val="23"/>
                <w:szCs w:val="23"/>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3"/>
                <w:szCs w:val="23"/>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10.35+</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Letter Agreement by and between the</w:t>
            </w:r>
          </w:p>
        </w:tc>
      </w:tr>
      <w:tr>
        <w:trPr>
          <w:trHeight w:val="230"/>
        </w:trPr>
        <w:tc>
          <w:tcPr>
            <w:tcW w:w="760" w:type="dxa"/>
            <w:vAlign w:val="bottom"/>
          </w:tcPr>
          <w:p>
            <w:pPr>
              <w:spacing w:after="0"/>
              <w:rPr>
                <w:sz w:val="20"/>
                <w:szCs w:val="20"/>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Nadia Waheed, dated April 22,</w:t>
            </w:r>
          </w:p>
        </w:tc>
      </w:tr>
      <w:tr>
        <w:trPr>
          <w:trHeight w:val="268"/>
        </w:trPr>
        <w:tc>
          <w:tcPr>
            <w:tcW w:w="760" w:type="dxa"/>
            <w:vAlign w:val="bottom"/>
          </w:tcPr>
          <w:p>
            <w:pPr>
              <w:spacing w:after="0"/>
              <w:rPr>
                <w:sz w:val="23"/>
                <w:szCs w:val="23"/>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3"/>
                <w:szCs w:val="23"/>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10.36+</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r>
      <w:tr>
        <w:trPr>
          <w:trHeight w:val="229"/>
        </w:trPr>
        <w:tc>
          <w:tcPr>
            <w:tcW w:w="760" w:type="dxa"/>
            <w:vAlign w:val="bottom"/>
          </w:tcPr>
          <w:p>
            <w:pPr>
              <w:spacing w:after="0"/>
              <w:rPr>
                <w:sz w:val="19"/>
                <w:szCs w:val="19"/>
                <w:color w:val="auto"/>
              </w:rPr>
            </w:pPr>
          </w:p>
        </w:tc>
        <w:tc>
          <w:tcPr>
            <w:tcW w:w="3960" w:type="dxa"/>
            <w:vAlign w:val="bottom"/>
            <w:gridSpan w:val="3"/>
          </w:tcPr>
          <w:p>
            <w:pPr>
              <w:ind w:left="240"/>
              <w:spacing w:after="0" w:line="229" w:lineRule="exact"/>
              <w:rPr>
                <w:sz w:val="20"/>
                <w:szCs w:val="20"/>
                <w:color w:val="auto"/>
              </w:rPr>
            </w:pPr>
            <w:r>
              <w:rPr>
                <w:rFonts w:ascii="Times New Roman" w:cs="Times New Roman" w:eastAsia="Times New Roman" w:hAnsi="Times New Roman"/>
                <w:sz w:val="20"/>
                <w:szCs w:val="20"/>
                <w:color w:val="auto"/>
              </w:rPr>
              <w:t>Registrant and Dr. Jeffrey Heier, dated as of</w:t>
            </w:r>
          </w:p>
        </w:tc>
      </w:tr>
      <w:tr>
        <w:trPr>
          <w:trHeight w:val="269"/>
        </w:trPr>
        <w:tc>
          <w:tcPr>
            <w:tcW w:w="760" w:type="dxa"/>
            <w:vAlign w:val="bottom"/>
          </w:tcPr>
          <w:p>
            <w:pPr>
              <w:spacing w:after="0"/>
              <w:rPr>
                <w:sz w:val="23"/>
                <w:szCs w:val="23"/>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February 21, 2024</w:t>
            </w: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10.37+</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Amendment No. 1 to the Employment</w:t>
            </w:r>
          </w:p>
        </w:tc>
      </w:tr>
      <w:tr>
        <w:trPr>
          <w:trHeight w:val="230"/>
        </w:trPr>
        <w:tc>
          <w:tcPr>
            <w:tcW w:w="760" w:type="dxa"/>
            <w:vAlign w:val="bottom"/>
          </w:tcPr>
          <w:p>
            <w:pPr>
              <w:spacing w:after="0"/>
              <w:rPr>
                <w:sz w:val="20"/>
                <w:szCs w:val="20"/>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Agreement by and between the Registrant and</w:t>
            </w:r>
          </w:p>
        </w:tc>
      </w:tr>
      <w:tr>
        <w:trPr>
          <w:trHeight w:val="269"/>
        </w:trPr>
        <w:tc>
          <w:tcPr>
            <w:tcW w:w="760" w:type="dxa"/>
            <w:vAlign w:val="bottom"/>
          </w:tcPr>
          <w:p>
            <w:pPr>
              <w:spacing w:after="0"/>
              <w:rPr>
                <w:sz w:val="23"/>
                <w:szCs w:val="23"/>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Dr. Jeffrey Heier, dated as of March 1, 2025</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10.38+</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 and Dr. Peter Kaiser, dated as of</w:t>
            </w: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February 21, 2024</w:t>
            </w: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10.39+</w:t>
            </w: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Amendment No. 1 to the Employment</w:t>
            </w:r>
          </w:p>
        </w:tc>
      </w:tr>
      <w:tr>
        <w:trPr>
          <w:trHeight w:val="229"/>
        </w:trPr>
        <w:tc>
          <w:tcPr>
            <w:tcW w:w="760" w:type="dxa"/>
            <w:vAlign w:val="bottom"/>
          </w:tcPr>
          <w:p>
            <w:pPr>
              <w:spacing w:after="0"/>
              <w:rPr>
                <w:sz w:val="19"/>
                <w:szCs w:val="19"/>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Agreement by and between the Registrant and</w:t>
            </w:r>
          </w:p>
        </w:tc>
      </w:tr>
      <w:tr>
        <w:trPr>
          <w:trHeight w:val="268"/>
        </w:trPr>
        <w:tc>
          <w:tcPr>
            <w:tcW w:w="760" w:type="dxa"/>
            <w:vAlign w:val="bottom"/>
          </w:tcPr>
          <w:p>
            <w:pPr>
              <w:spacing w:after="0"/>
              <w:rPr>
                <w:sz w:val="23"/>
                <w:szCs w:val="23"/>
                <w:color w:val="auto"/>
              </w:rPr>
            </w:pPr>
          </w:p>
        </w:tc>
        <w:tc>
          <w:tcPr>
            <w:tcW w:w="3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Dr. Peter Kaiser, dated as of March 28, 2024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Date of</w:t>
            </w:r>
          </w:p>
        </w:tc>
        <w:tc>
          <w:tcPr>
            <w:tcW w:w="14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60" w:type="dxa"/>
            <w:vAlign w:val="bottom"/>
          </w:tcPr>
          <w:p>
            <w:pPr>
              <w:spacing w:after="0"/>
              <w:rPr>
                <w:sz w:val="17"/>
                <w:szCs w:val="17"/>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4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58"/>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6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001-36554</w:t>
            </w:r>
          </w:p>
        </w:tc>
        <w:tc>
          <w:tcPr>
            <w:tcW w:w="1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3/11/2021</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10.36</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9"/>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11/7/2023</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0"/>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8/5/2025</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2/28/2022</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10.39</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0"/>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3/11/2024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10.37</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2/28/2022</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10.41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1"/>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2/22/2024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3/11/2024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10.42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1"/>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8/7/2024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1"/>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8/7/2024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11/14/2024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0"/>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3/3/2025</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10.49</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11/14/2024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1"/>
        </w:trPr>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11/14/2024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59" w:lineRule="exact"/>
        <w:rPr>
          <w:sz w:val="20"/>
          <w:szCs w:val="20"/>
          <w:color w:val="auto"/>
        </w:rPr>
      </w:pPr>
    </w:p>
    <w:p>
      <w:pPr>
        <w:sectPr>
          <w:pgSz w:w="11880" w:h="15480" w:orient="portrait"/>
          <w:cols w:equalWidth="0" w:num="2">
            <w:col w:w="4700" w:space="220"/>
            <w:col w:w="4800"/>
          </w:cols>
          <w:pgMar w:left="1080" w:top="1067" w:right="10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1880" w:h="15480" w:orient="portrait"/>
          <w:cols w:equalWidth="0" w:num="1">
            <w:col w:w="9720"/>
          </w:cols>
          <w:pgMar w:left="1080" w:top="1067" w:right="108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03"/>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55"/>
        </w:trPr>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Date of</w:t>
            </w:r>
          </w:p>
        </w:tc>
        <w:tc>
          <w:tcPr>
            <w:tcW w:w="14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6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88"/>
        </w:trPr>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20"/>
                <w:szCs w:val="20"/>
                <w:color w:val="auto"/>
                <w:w w:val="99"/>
              </w:rPr>
              <w:t>10.40+</w:t>
            </w:r>
          </w:p>
        </w:tc>
        <w:tc>
          <w:tcPr>
            <w:tcW w:w="240" w:type="dxa"/>
            <w:vAlign w:val="bottom"/>
          </w:tcPr>
          <w:p>
            <w:pPr>
              <w:spacing w:after="0"/>
              <w:rPr>
                <w:sz w:val="16"/>
                <w:szCs w:val="16"/>
                <w:color w:val="auto"/>
              </w:rPr>
            </w:pPr>
          </w:p>
        </w:tc>
        <w:tc>
          <w:tcPr>
            <w:tcW w:w="37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20"/>
                <w:szCs w:val="20"/>
                <w:color w:val="auto"/>
              </w:rPr>
              <w:t>Amendment No. 2 to the Employment</w:t>
            </w:r>
          </w:p>
        </w:tc>
        <w:tc>
          <w:tcPr>
            <w:tcW w:w="220" w:type="dxa"/>
            <w:vAlign w:val="bottom"/>
          </w:tcPr>
          <w:p>
            <w:pPr>
              <w:spacing w:after="0"/>
              <w:rPr>
                <w:sz w:val="16"/>
                <w:szCs w:val="16"/>
                <w:color w:val="auto"/>
              </w:rPr>
            </w:pPr>
          </w:p>
        </w:tc>
        <w:tc>
          <w:tcPr>
            <w:tcW w:w="640" w:type="dxa"/>
            <w:vAlign w:val="bottom"/>
            <w:tcBorders>
              <w:top w:val="single" w:sz="8" w:color="auto"/>
            </w:tcBorders>
          </w:tcPr>
          <w:p>
            <w:pPr>
              <w:ind w:left="120"/>
              <w:spacing w:after="0" w:line="188" w:lineRule="exact"/>
              <w:rPr>
                <w:sz w:val="20"/>
                <w:szCs w:val="20"/>
                <w:color w:val="auto"/>
              </w:rPr>
            </w:pPr>
            <w:r>
              <w:rPr>
                <w:rFonts w:ascii="Times New Roman" w:cs="Times New Roman" w:eastAsia="Times New Roman" w:hAnsi="Times New Roman"/>
                <w:sz w:val="20"/>
                <w:szCs w:val="20"/>
                <w:color w:val="auto"/>
              </w:rPr>
              <w:t>10-K</w:t>
            </w:r>
          </w:p>
        </w:tc>
        <w:tc>
          <w:tcPr>
            <w:tcW w:w="160" w:type="dxa"/>
            <w:vAlign w:val="bottom"/>
          </w:tcPr>
          <w:p>
            <w:pPr>
              <w:spacing w:after="0"/>
              <w:rPr>
                <w:sz w:val="16"/>
                <w:szCs w:val="16"/>
                <w:color w:val="auto"/>
              </w:rPr>
            </w:pPr>
          </w:p>
        </w:tc>
        <w:tc>
          <w:tcPr>
            <w:tcW w:w="104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20"/>
                <w:szCs w:val="20"/>
                <w:color w:val="auto"/>
              </w:rPr>
              <w:t>001-36554</w:t>
            </w:r>
          </w:p>
        </w:tc>
        <w:tc>
          <w:tcPr>
            <w:tcW w:w="16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20"/>
                <w:szCs w:val="20"/>
                <w:color w:val="auto"/>
              </w:rPr>
              <w:t>3/3/2025</w:t>
            </w:r>
          </w:p>
        </w:tc>
        <w:tc>
          <w:tcPr>
            <w:tcW w:w="140" w:type="dxa"/>
            <w:vAlign w:val="bottom"/>
          </w:tcPr>
          <w:p>
            <w:pPr>
              <w:spacing w:after="0"/>
              <w:rPr>
                <w:sz w:val="16"/>
                <w:szCs w:val="16"/>
                <w:color w:val="auto"/>
              </w:rPr>
            </w:pP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20"/>
                <w:szCs w:val="20"/>
                <w:color w:val="auto"/>
              </w:rPr>
              <w:t>10.52</w:t>
            </w:r>
          </w:p>
        </w:tc>
        <w:tc>
          <w:tcPr>
            <w:tcW w:w="1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Agreement by and between the Registrant and</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Dr. Peter Kaiser, dated as of March 1, 2025</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10.41+</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11/14/2024</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Todd Anderman, dated as of</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October 4, 2024</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10.42+</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8/5/2025</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Steve Meyers, dated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January 27, 2023</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10.43+</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First Amendment to Employment Agreement,</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8/5/2025</w:t>
            </w:r>
          </w:p>
        </w:tc>
        <w:tc>
          <w:tcPr>
            <w:tcW w:w="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and between the Registrant and Steve</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Meyers, dated August 3, 2023</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10.44+</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Employment Agreement, by and between the</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8/5/2025</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Registrant and Namrata Saroj, dated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November 3, 2024</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10.45+</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Restricted Stock Unit Agreement by and</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5/5/2025</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10.3</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the Registrant and Dr. Pravin U.</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Dugel, dated as of February 11, 2025</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10.46+</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Performance Stock Unit Agreement by and</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5/5/2025</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the Registrant and Dr. Pravin U.</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Dugel, dated as of February 11, 2025</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10.47+</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Performance Stock Option Agreement by and</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5/5/2025</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10.5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 the Registrant and Dr. Pravin U.</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Dugel, dated as of February 11, 2025</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19.1</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Insider Trading Policies and Procedures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Subsidiaries of the Registrant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23.1</w:t>
            </w: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Consent of PricewaterhouseCoopers LLP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31.1</w:t>
            </w:r>
          </w:p>
        </w:tc>
        <w:tc>
          <w:tcPr>
            <w:tcW w:w="8140" w:type="dxa"/>
            <w:vAlign w:val="bottom"/>
            <w:gridSpan w:val="10"/>
          </w:tcPr>
          <w:p>
            <w:pPr>
              <w:ind w:left="24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 13a-14(a)/15d-14(a) of the Securities</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Exchange Act of 1934, as amended</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1"/>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240" w:type="dxa"/>
            <w:vAlign w:val="bottom"/>
          </w:tcPr>
          <w:p>
            <w:pPr>
              <w:spacing w:after="0"/>
              <w:rPr>
                <w:sz w:val="24"/>
                <w:szCs w:val="24"/>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 13a-14(a)/15d-14(a) of the Securities</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Exchange Act of 1934, as amended</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8140" w:type="dxa"/>
            <w:vAlign w:val="bottom"/>
            <w:gridSpan w:val="10"/>
          </w:tcPr>
          <w:p>
            <w:pPr>
              <w:ind w:left="24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§1350, as adopted pursuant to</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8140" w:type="dxa"/>
            <w:vAlign w:val="bottom"/>
            <w:gridSpan w:val="10"/>
          </w:tcPr>
          <w:p>
            <w:pPr>
              <w:ind w:left="24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§1350, as adopted pursuant to</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2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Ocular Therapeutix, Inc. Compensation</w:t>
            </w:r>
          </w:p>
        </w:tc>
        <w:tc>
          <w:tcPr>
            <w:tcW w:w="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001-36554</w:t>
            </w:r>
          </w:p>
        </w:tc>
        <w:tc>
          <w:tcPr>
            <w:tcW w:w="116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3/11/2024</w:t>
            </w:r>
          </w:p>
        </w:tc>
        <w:tc>
          <w:tcPr>
            <w:tcW w:w="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97.1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Recovery Policy</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8140" w:type="dxa"/>
            <w:vAlign w:val="bottom"/>
            <w:gridSpan w:val="10"/>
          </w:tcPr>
          <w:p>
            <w:pPr>
              <w:ind w:left="240"/>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9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File because XBRL tags are embedded within the Inline XBRL document)</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7" w:right="1080"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1880" w:h="15480" w:orient="portrait"/>
          <w:cols w:equalWidth="0" w:num="1">
            <w:col w:w="9720"/>
          </w:cols>
          <w:pgMar w:left="1080" w:top="1067" w:right="1080"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0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55"/>
        </w:trPr>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Date of</w:t>
            </w:r>
          </w:p>
        </w:tc>
        <w:tc>
          <w:tcPr>
            <w:tcW w:w="14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20" w:type="dxa"/>
            <w:vAlign w:val="bottom"/>
          </w:tcPr>
          <w:p>
            <w:pPr>
              <w:spacing w:after="0"/>
              <w:rPr>
                <w:sz w:val="17"/>
                <w:szCs w:val="17"/>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60" w:type="dxa"/>
            <w:vAlign w:val="bottom"/>
          </w:tcPr>
          <w:p>
            <w:pPr>
              <w:spacing w:after="0"/>
              <w:rPr>
                <w:sz w:val="17"/>
                <w:szCs w:val="17"/>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4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56"/>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101.SCH</w:t>
            </w:r>
          </w:p>
        </w:tc>
        <w:tc>
          <w:tcPr>
            <w:tcW w:w="46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1"/>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101.CAL</w:t>
            </w:r>
          </w:p>
        </w:tc>
        <w:tc>
          <w:tcPr>
            <w:tcW w:w="58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101.LAB</w:t>
            </w:r>
          </w:p>
        </w:tc>
        <w:tc>
          <w:tcPr>
            <w:tcW w:w="58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Database</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58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61"/>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58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422"/>
        </w:trPr>
        <w:tc>
          <w:tcPr>
            <w:tcW w:w="7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80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The cover page from this Annual Report on Form 10-K, formatted in Inline XBRL and contained</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Exhibit 101</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95250</wp:posOffset>
                </wp:positionV>
                <wp:extent cx="154178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5pt" to="121.65pt,7.5pt" o:allowincell="f" strokecolor="#000000" strokeweight="1.02pt"/>
            </w:pict>
          </mc:Fallback>
        </mc:AlternateContent>
      </w:r>
    </w:p>
    <w:p>
      <w:pPr>
        <w:spacing w:after="0" w:line="171" w:lineRule="exact"/>
        <w:rPr>
          <w:sz w:val="20"/>
          <w:szCs w:val="20"/>
          <w:color w:val="auto"/>
        </w:rPr>
      </w:pPr>
    </w:p>
    <w:p>
      <w:pPr>
        <w:ind w:left="360" w:right="420" w:hanging="353"/>
        <w:spacing w:after="0" w:line="280" w:lineRule="auto"/>
        <w:tabs>
          <w:tab w:leader="none" w:pos="3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granted as to certain portions, which portions have been omitted and separately filed with the Securities and Exchange Commission.</w:t>
      </w:r>
    </w:p>
    <w:p>
      <w:pPr>
        <w:spacing w:after="0" w:line="163" w:lineRule="exact"/>
        <w:rPr>
          <w:sz w:val="20"/>
          <w:szCs w:val="20"/>
          <w:color w:val="auto"/>
        </w:rPr>
      </w:pPr>
    </w:p>
    <w:p>
      <w:pPr>
        <w:ind w:left="360" w:right="160" w:hanging="353"/>
        <w:spacing w:after="0" w:line="280" w:lineRule="auto"/>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 filed in response to Item 15(a)(3) of the Instructions to the Annual Report on Form 10-K.</w:t>
      </w:r>
    </w:p>
    <w:p>
      <w:pPr>
        <w:spacing w:after="0" w:line="163" w:lineRule="exact"/>
        <w:rPr>
          <w:sz w:val="20"/>
          <w:szCs w:val="20"/>
          <w:color w:val="auto"/>
        </w:rPr>
      </w:pPr>
    </w:p>
    <w:p>
      <w:pPr>
        <w:ind w:left="360" w:hanging="353"/>
        <w:spacing w:after="0"/>
        <w:tabs>
          <w:tab w:leader="none" w:pos="3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of this exhibit have been omitted pursuant to Item 601(b)(10)(iv) of Regulation S-K.</w:t>
      </w:r>
    </w:p>
    <w:p>
      <w:pPr>
        <w:sectPr>
          <w:pgSz w:w="11880" w:h="15480" w:orient="portrait"/>
          <w:cols w:equalWidth="0" w:num="1">
            <w:col w:w="9720"/>
          </w:cols>
          <w:pgMar w:left="1080" w:top="106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141</w:t>
      </w:r>
    </w:p>
    <w:p>
      <w:pPr>
        <w:sectPr>
          <w:pgSz w:w="11880" w:h="15480" w:orient="portrait"/>
          <w:cols w:equalWidth="0" w:num="1">
            <w:col w:w="9720"/>
          </w:cols>
          <w:pgMar w:left="1080" w:top="1067" w:right="1080" w:bottom="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4" w:lineRule="exact"/>
        <w:rPr>
          <w:sz w:val="20"/>
          <w:szCs w:val="20"/>
          <w:color w:val="auto"/>
        </w:rPr>
      </w:pPr>
    </w:p>
    <w:p>
      <w:pPr>
        <w:ind w:right="40" w:firstLine="49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Date: February 5, 2026</w:t>
      </w:r>
    </w:p>
    <w:p>
      <w:pPr>
        <w:spacing w:after="0" w:line="2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OCULAR THERAPEUTIX, INC.</w:t>
      </w:r>
    </w:p>
    <w:p>
      <w:pPr>
        <w:spacing w:after="0" w:line="2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Jason Robins</w:t>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Jason Robins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3332480</wp:posOffset>
                </wp:positionH>
                <wp:positionV relativeFrom="paragraph">
                  <wp:posOffset>-135255</wp:posOffset>
                </wp:positionV>
                <wp:extent cx="283464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346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4pt,-10.6499pt" to="485.6pt,-10.6499pt" o:allowincell="f" strokecolor="#000000" strokeweight="0.4799pt"/>
            </w:pict>
          </mc:Fallback>
        </mc:AlternateContent>
      </w:r>
    </w:p>
    <w:p>
      <w:pPr>
        <w:ind w:left="5240"/>
        <w:spacing w:after="0"/>
        <w:rPr>
          <w:sz w:val="20"/>
          <w:szCs w:val="20"/>
          <w:color w:val="auto"/>
        </w:rPr>
      </w:pPr>
      <w:r>
        <w:rPr>
          <w:rFonts w:ascii="Times New Roman" w:cs="Times New Roman" w:eastAsia="Times New Roman" w:hAnsi="Times New Roman"/>
          <w:sz w:val="20"/>
          <w:szCs w:val="20"/>
          <w:color w:val="auto"/>
        </w:rPr>
        <w:t>Interim Chief Financial Officer</w:t>
      </w:r>
    </w:p>
    <w:p>
      <w:pPr>
        <w:ind w:left="52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30" w:lineRule="exact"/>
        <w:rPr>
          <w:sz w:val="20"/>
          <w:szCs w:val="20"/>
          <w:color w:val="auto"/>
        </w:rPr>
      </w:pPr>
    </w:p>
    <w:p>
      <w:pPr>
        <w:ind w:right="120" w:firstLine="49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40" w:type="dxa"/>
            <w:vAlign w:val="bottom"/>
          </w:tcPr>
          <w:p>
            <w:pPr>
              <w:spacing w:after="0"/>
              <w:rPr>
                <w:sz w:val="17"/>
                <w:szCs w:val="17"/>
                <w:color w:val="auto"/>
              </w:rPr>
            </w:pPr>
          </w:p>
        </w:tc>
        <w:tc>
          <w:tcPr>
            <w:tcW w:w="42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0" w:type="dxa"/>
            <w:vAlign w:val="bottom"/>
          </w:tcPr>
          <w:p>
            <w:pPr>
              <w:spacing w:after="0"/>
              <w:rPr>
                <w:sz w:val="1"/>
                <w:szCs w:val="1"/>
                <w:color w:val="auto"/>
              </w:rPr>
            </w:pPr>
          </w:p>
        </w:tc>
      </w:tr>
      <w:tr>
        <w:trPr>
          <w:trHeight w:val="382"/>
        </w:trPr>
        <w:tc>
          <w:tcPr>
            <w:tcW w:w="3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 Pravin Dugel</w:t>
            </w:r>
          </w:p>
        </w:tc>
        <w:tc>
          <w:tcPr>
            <w:tcW w:w="2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Executive Chairman of the Board of Directors,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3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President, Chief Executive Officer</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Pravin Dugel</w:t>
            </w:r>
          </w:p>
        </w:tc>
        <w:tc>
          <w:tcPr>
            <w:tcW w:w="240" w:type="dxa"/>
            <w:vAlign w:val="bottom"/>
          </w:tcPr>
          <w:p>
            <w:pPr>
              <w:spacing w:after="0"/>
              <w:rPr>
                <w:sz w:val="23"/>
                <w:szCs w:val="2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6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366"/>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Jason Robins</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Interim Chief Financial Officer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6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Jason Robins</w:t>
            </w:r>
          </w:p>
        </w:tc>
        <w:tc>
          <w:tcPr>
            <w:tcW w:w="240" w:type="dxa"/>
            <w:vAlign w:val="bottom"/>
          </w:tcPr>
          <w:p>
            <w:pPr>
              <w:spacing w:after="0"/>
              <w:rPr>
                <w:sz w:val="23"/>
                <w:szCs w:val="2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Adrienne Graves, Ph.D.</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Adrienne Graves, Ph.D.</w:t>
            </w:r>
          </w:p>
        </w:tc>
        <w:tc>
          <w:tcPr>
            <w:tcW w:w="2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Seung Suh Hong, Ph.D.</w:t>
            </w:r>
          </w:p>
        </w:tc>
        <w:tc>
          <w:tcPr>
            <w:tcW w:w="2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Seung Suh Hong, Ph.D.</w:t>
            </w:r>
          </w:p>
        </w:tc>
        <w:tc>
          <w:tcPr>
            <w:tcW w:w="2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Richard L. Lindstrom, M.D.</w:t>
            </w:r>
          </w:p>
        </w:tc>
        <w:tc>
          <w:tcPr>
            <w:tcW w:w="45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Richard L. Lindstrom, M.D.</w:t>
            </w:r>
          </w:p>
        </w:tc>
        <w:tc>
          <w:tcPr>
            <w:tcW w:w="2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Merilee Raines</w:t>
            </w:r>
          </w:p>
        </w:tc>
        <w:tc>
          <w:tcPr>
            <w:tcW w:w="2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Merilee Raines</w:t>
            </w:r>
          </w:p>
        </w:tc>
        <w:tc>
          <w:tcPr>
            <w:tcW w:w="2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Charles Warden</w:t>
            </w:r>
          </w:p>
        </w:tc>
        <w:tc>
          <w:tcPr>
            <w:tcW w:w="2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Charles Warden</w:t>
            </w:r>
          </w:p>
        </w:tc>
        <w:tc>
          <w:tcPr>
            <w:tcW w:w="2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Leslie Williams</w:t>
            </w:r>
          </w:p>
        </w:tc>
        <w:tc>
          <w:tcPr>
            <w:tcW w:w="2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Leslie Williams</w:t>
            </w:r>
          </w:p>
        </w:tc>
        <w:tc>
          <w:tcPr>
            <w:tcW w:w="2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880" w:h="15480" w:orient="portrait"/>
          <w:cols w:equalWidth="0" w:num="1">
            <w:col w:w="9720"/>
          </w:cols>
          <w:pgMar w:left="1080" w:top="1061" w:right="108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OCULAR THERAPEUTIX, INC.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20" w:type="dxa"/>
            <w:vAlign w:val="bottom"/>
            <w:vMerge w:val="restart"/>
          </w:tcPr>
          <w:p>
            <w:pPr>
              <w:jc w:val="right"/>
              <w:ind w:right="2760"/>
              <w:spacing w:after="0"/>
              <w:rPr>
                <w:sz w:val="20"/>
                <w:szCs w:val="20"/>
                <w:color w:val="auto"/>
              </w:rPr>
            </w:pPr>
            <w:r>
              <w:rPr>
                <w:rFonts w:ascii="Times New Roman" w:cs="Times New Roman" w:eastAsia="Times New Roman" w:hAnsi="Times New Roman"/>
                <w:sz w:val="20"/>
                <w:szCs w:val="20"/>
                <w:color w:val="auto"/>
                <w:w w:val="99"/>
              </w:rPr>
              <w:t>Report of Independent Registered Public Accounting Firm (PCAOB ID 238)</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98"/>
        </w:trPr>
        <w:tc>
          <w:tcPr>
            <w:tcW w:w="9020" w:type="dxa"/>
            <w:vAlign w:val="bottom"/>
            <w:vMerge w:val="continue"/>
          </w:tcPr>
          <w:p>
            <w:pPr>
              <w:jc w:val="right"/>
              <w:ind w:right="140"/>
              <w:spacing w:after="0" w:line="177" w:lineRule="exact"/>
              <w:rPr>
                <w:sz w:val="20"/>
                <w:szCs w:val="20"/>
                <w:color w:val="auto"/>
              </w:rPr>
            </w:pPr>
            <w:r>
              <w:rPr>
                <w:rFonts w:ascii="Times New Roman" w:cs="Times New Roman" w:eastAsia="Times New Roman" w:hAnsi="Times New Roman"/>
                <w:sz w:val="20"/>
                <w:szCs w:val="20"/>
                <w:color w:val="auto"/>
              </w:rPr>
              <w:t>. . . . . . . . . . . . . . . . . . . . . . . . . . .</w:t>
            </w: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30"/>
        </w:trPr>
        <w:tc>
          <w:tcPr>
            <w:tcW w:w="9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Consolidated Balance Sheets . . . . . . . . . . . . . . . . . . . . . . . . . . . . . . . . . . . . . . . . . . . . . . . . . . . . . . . . . . . .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30"/>
        </w:trPr>
        <w:tc>
          <w:tcPr>
            <w:tcW w:w="9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Consolidated Statements of Operations and Comprehensive Loss . . . . . . . . . . . . . . . . . . . . . . . . . . . . . .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29"/>
        </w:trPr>
        <w:tc>
          <w:tcPr>
            <w:tcW w:w="9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Consolidated Statements of Changes in Stockholders’ Equity (Deficit) . . . . . . . . . . . . . . . . . . . . . . . . . .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30"/>
        </w:trPr>
        <w:tc>
          <w:tcPr>
            <w:tcW w:w="9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Consolidated Statements of Cash Flows . . . . . . . . . . . . . . . . . . . . . . . . . . . . . . . . . . . . . . . . . . . . . . . . . . .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68"/>
        </w:trPr>
        <w:tc>
          <w:tcPr>
            <w:tcW w:w="90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Notes to Consolidated Financial Statements . . . . . . . . . . . . . . . . . . . . . . . . . . . . . . . . . . . . . . . . . . . . . . . .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720"/>
          </w:cols>
          <w:pgMar w:left="1080" w:top="1061" w:right="1080" w:bottom="0" w:gutter="0" w:footer="0" w:header="0"/>
          <w:type w:val="continuous"/>
        </w:sectPr>
      </w:pPr>
    </w:p>
    <w:bookmarkStart w:id="145" w:name="page146"/>
    <w:bookmarkEnd w:id="145"/>
    <w:p>
      <w:pPr>
        <w:ind w:left="23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Ocular Therapeutix,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Opinions on the Financial Statements and Internal Control over Financial Reporting</w:t>
      </w:r>
    </w:p>
    <w:p>
      <w:pPr>
        <w:spacing w:after="0" w:line="23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Ocular Therapeutix, Inc. and its subsidiaries (the "Company") as of December 31, 2025 and 2024, and the related consolidated statements of operations and comprehensive loss, of changes in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9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Opinions</w:t>
      </w: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w:t>
      </w:r>
    </w:p>
    <w:p>
      <w:pPr>
        <w:sectPr>
          <w:pgSz w:w="11880" w:h="15480" w:orient="portrait"/>
          <w:cols w:equalWidth="0" w:num="1">
            <w:col w:w="9680"/>
          </w:cols>
          <w:pgMar w:left="1080" w:top="1062"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680"/>
          </w:cols>
          <w:pgMar w:left="1080" w:top="1062" w:right="1120" w:bottom="0" w:gutter="0" w:footer="0" w:header="0"/>
          <w:type w:val="continuous"/>
        </w:sectPr>
      </w:pPr>
    </w:p>
    <w:bookmarkStart w:id="146" w:name="page147"/>
    <w:bookmarkEnd w:id="146"/>
    <w:p>
      <w:pPr>
        <w:ind w:right="40"/>
        <w:spacing w:after="0" w:line="260" w:lineRule="auto"/>
        <w:rPr>
          <w:sz w:val="20"/>
          <w:szCs w:val="20"/>
          <w:color w:val="auto"/>
        </w:rPr>
      </w:pPr>
      <w:r>
        <w:rPr>
          <w:rFonts w:ascii="Times New Roman" w:cs="Times New Roman" w:eastAsia="Times New Roman" w:hAnsi="Times New Roman"/>
          <w:sz w:val="20"/>
          <w:szCs w:val="20"/>
          <w:color w:val="auto"/>
        </w:rPr>
        <w:t>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3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DEXTENZA</w:t>
      </w:r>
    </w:p>
    <w:p>
      <w:pPr>
        <w:spacing w:after="0" w:line="22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the Company sells DEXTENZA in the United States primarily to a limited number of specialty distributors (SDs) under individually negotiated distribution agreements. These customers then subsequently resell DEXTENZA to ambulatory surgery centers, hospital outpatient departments and physicians’ offices. The Company recognizes revenue on product sales when the customer obtains control of the Company's product, which occurs at a point in time (upon delivery to the customer). Product revenues are recorded net of applicable reserves for variable consideration, including discounts and allowances. As disclosed by management, the delivery of DEXTENZA to customers constitutes a single performance obligation. For the year ended December 31, 2025, the Company recognized $51.8 million of product revenue, net, relating to the sale of DEXTENZA. The principal consideration for our determination that performing procedures relating to revenue recognition for DEXTENZA is a critical audit matter is a high degree of auditor effort in performing procedures related to revenue recognition for DEXTENZA. Addressing the matter involved performing procedures and evaluating audit evidence in connection with forming our overall opinion on the consolidated financial statements.</w:t>
      </w:r>
    </w:p>
    <w:p>
      <w:pPr>
        <w:spacing w:after="0" w:line="19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These procedures included testing the effectiveness of controls relating to the revenue recognition process for DEXTENZA, including controls over the recording of revenue for DEXTENZA at the transaction price when the customer obtains control. These procedures also included, among others, (i) evaluating management’s revenue recognition policy; (ii) testing the, on a sample basis, completeness, accuracy, and occurrence of amounts invoiced for DEXTENZA by obtaining and inspecting source documents, such as purchase orders, invoices, proof of delivery, and subsequent cash receipts; (iii) testing, on a sample basis, the accuracy of variable consideration applied related to the sale of DEXTENZA by obtaining and inspecting source documents, such as contracts, units sold, rebate payments made and other related documentation; and (iv) confirming, on a sample basis, the accuracy and existence of outstanding accounts receivable balances as of December 31, 2025 and, for confirmations not returned, obtaining and inspecting source documents, such as, purchase orders, invoices, proof of delivery, and subsequent cash receipts.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rPr>
          <w:sz w:val="20"/>
          <w:szCs w:val="20"/>
          <w:color w:val="auto"/>
        </w:rPr>
      </w:pPr>
      <w:r>
        <w:rPr>
          <w:rFonts w:ascii="Times New Roman" w:cs="Times New Roman" w:eastAsia="Times New Roman" w:hAnsi="Times New Roman"/>
          <w:sz w:val="20"/>
          <w:szCs w:val="20"/>
          <w:color w:val="auto"/>
        </w:rPr>
        <w:t>February 5,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2008.</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700"/>
          </w:cols>
          <w:pgMar w:left="1080" w:top="1064" w:right="1100" w:bottom="0"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t>OCULAR THERAPEUTIX,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737,060</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392,102</w:t>
            </w:r>
          </w:p>
        </w:tc>
        <w:tc>
          <w:tcPr>
            <w:tcW w:w="0" w:type="dxa"/>
            <w:vAlign w:val="bottom"/>
          </w:tcPr>
          <w:p>
            <w:pPr>
              <w:spacing w:after="0"/>
              <w:rPr>
                <w:sz w:val="1"/>
                <w:szCs w:val="1"/>
                <w:color w:val="auto"/>
              </w:rPr>
            </w:pPr>
          </w:p>
        </w:tc>
      </w:tr>
      <w:tr>
        <w:trPr>
          <w:trHeight w:val="229"/>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Accounts receivable, net . . . . . . . . . . . . . . . . . . . . . . . . . . . . . . . . . . . . . . . . . . . . . . .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32,388</w:t>
            </w: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Inventory . . . . . . . . . . . . . . . . . . . . . . . . . . . . . . . .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3,040</w:t>
            </w:r>
          </w:p>
        </w:tc>
        <w:tc>
          <w:tcPr>
            <w:tcW w:w="0" w:type="dxa"/>
            <w:vAlign w:val="bottom"/>
          </w:tcPr>
          <w:p>
            <w:pPr>
              <w:spacing w:after="0"/>
              <w:rPr>
                <w:sz w:val="1"/>
                <w:szCs w:val="1"/>
                <w:color w:val="auto"/>
              </w:rPr>
            </w:pPr>
          </w:p>
        </w:tc>
      </w:tr>
      <w:tr>
        <w:trPr>
          <w:trHeight w:val="241"/>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13,457</w:t>
            </w:r>
          </w:p>
        </w:tc>
        <w:tc>
          <w:tcPr>
            <w:tcW w:w="0" w:type="dxa"/>
            <w:vAlign w:val="bottom"/>
          </w:tcPr>
          <w:p>
            <w:pPr>
              <w:spacing w:after="0"/>
              <w:rPr>
                <w:sz w:val="1"/>
                <w:szCs w:val="1"/>
                <w:color w:val="auto"/>
              </w:rPr>
            </w:pPr>
          </w:p>
        </w:tc>
      </w:tr>
      <w:tr>
        <w:trPr>
          <w:trHeight w:val="209"/>
        </w:trPr>
        <w:tc>
          <w:tcPr>
            <w:tcW w:w="738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 .Totalcurrentassets</w:t>
            </w:r>
          </w:p>
        </w:tc>
        <w:tc>
          <w:tcPr>
            <w:tcW w:w="12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782,129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440,987</w:t>
            </w:r>
          </w:p>
        </w:tc>
        <w:tc>
          <w:tcPr>
            <w:tcW w:w="0" w:type="dxa"/>
            <w:vAlign w:val="bottom"/>
          </w:tcPr>
          <w:p>
            <w:pPr>
              <w:spacing w:after="0"/>
              <w:rPr>
                <w:sz w:val="1"/>
                <w:szCs w:val="1"/>
                <w:color w:val="auto"/>
              </w:rPr>
            </w:pPr>
          </w:p>
        </w:tc>
      </w:tr>
      <w:tr>
        <w:trPr>
          <w:trHeight w:val="229"/>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Property and equipment, net . . . . . . . . . . . . . . . . . . . . . . . . . . . . . . . . . . . . . . . . . . . . . . . . .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9,389</w:t>
            </w: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Restricted cash. . . . . . . . . . . . . . . . . . . . . . . . . . . . . . . . .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w:t>
            </w:r>
          </w:p>
        </w:tc>
        <w:tc>
          <w:tcPr>
            <w:tcW w:w="0" w:type="dxa"/>
            <w:vAlign w:val="bottom"/>
          </w:tcPr>
          <w:p>
            <w:pPr>
              <w:spacing w:after="0"/>
              <w:rPr>
                <w:sz w:val="1"/>
                <w:szCs w:val="1"/>
                <w:color w:val="auto"/>
              </w:rPr>
            </w:pPr>
          </w:p>
        </w:tc>
      </w:tr>
      <w:tr>
        <w:trPr>
          <w:trHeight w:val="241"/>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Operating lease assets . . . . . . . . . . . . . . . . . . . . . .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5,945</w:t>
            </w:r>
          </w:p>
        </w:tc>
        <w:tc>
          <w:tcPr>
            <w:tcW w:w="0" w:type="dxa"/>
            <w:vAlign w:val="bottom"/>
          </w:tcPr>
          <w:p>
            <w:pPr>
              <w:spacing w:after="0"/>
              <w:rPr>
                <w:sz w:val="1"/>
                <w:szCs w:val="1"/>
                <w:color w:val="auto"/>
              </w:rPr>
            </w:pPr>
          </w:p>
        </w:tc>
      </w:tr>
      <w:tr>
        <w:trPr>
          <w:trHeight w:val="239"/>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 . . . . . . . . . . . . . . . . . . . . . . . . . . . . . . . . . . . . . . . . . . . . . . . . . . . . . .Totalassets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808,057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457,935</w:t>
            </w:r>
          </w:p>
        </w:tc>
        <w:tc>
          <w:tcPr>
            <w:tcW w:w="0" w:type="dxa"/>
            <w:vAlign w:val="bottom"/>
          </w:tcPr>
          <w:p>
            <w:pPr>
              <w:spacing w:after="0"/>
              <w:rPr>
                <w:sz w:val="1"/>
                <w:szCs w:val="1"/>
                <w:color w:val="auto"/>
              </w:rPr>
            </w:pPr>
          </w:p>
        </w:tc>
      </w:tr>
      <w:tr>
        <w:trPr>
          <w:trHeight w:val="209"/>
        </w:trPr>
        <w:tc>
          <w:tcPr>
            <w:tcW w:w="73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4,154</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4,176</w:t>
            </w: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Accrued expenses and other current liabilities . .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35,117</w:t>
            </w: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 . . . . . .</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41"/>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1,933</w:t>
            </w:r>
          </w:p>
        </w:tc>
        <w:tc>
          <w:tcPr>
            <w:tcW w:w="0" w:type="dxa"/>
            <w:vAlign w:val="bottom"/>
          </w:tcPr>
          <w:p>
            <w:pPr>
              <w:spacing w:after="0"/>
              <w:rPr>
                <w:sz w:val="1"/>
                <w:szCs w:val="1"/>
                <w:color w:val="auto"/>
              </w:rPr>
            </w:pPr>
          </w:p>
        </w:tc>
      </w:tr>
      <w:tr>
        <w:trPr>
          <w:trHeight w:val="208"/>
        </w:trPr>
        <w:tc>
          <w:tcPr>
            <w:tcW w:w="7380" w:type="dxa"/>
            <w:vAlign w:val="bottom"/>
            <w:gridSpan w:val="2"/>
          </w:tcPr>
          <w:p>
            <w:pPr>
              <w:jc w:val="right"/>
              <w:ind w:right="340"/>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.Totalcurrentliabilities</w:t>
            </w:r>
          </w:p>
        </w:tc>
        <w:tc>
          <w:tcPr>
            <w:tcW w:w="12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50,806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41,354</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Operating lease liabilities, net of current portion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5,345</w:t>
            </w:r>
          </w:p>
        </w:tc>
        <w:tc>
          <w:tcPr>
            <w:tcW w:w="0" w:type="dxa"/>
            <w:vAlign w:val="bottom"/>
          </w:tcPr>
          <w:p>
            <w:pPr>
              <w:spacing w:after="0"/>
              <w:rPr>
                <w:sz w:val="1"/>
                <w:szCs w:val="1"/>
                <w:color w:val="auto"/>
              </w:rPr>
            </w:pPr>
          </w:p>
        </w:tc>
      </w:tr>
      <w:tr>
        <w:trPr>
          <w:trHeight w:val="229"/>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Derivative liability. . . . . . . . . . . . . . . . . . . . . . . . . . . . . . . . . . . . . . . . . . . . . . . . . . . .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13,246</w:t>
            </w: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Deferred revenue, net of current portion . . . . . . .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w:t>
            </w: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Notes payable, net  . . . . . . . . . . . . . . . . . . . . . . . .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71,336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68,505</w:t>
            </w:r>
          </w:p>
        </w:tc>
        <w:tc>
          <w:tcPr>
            <w:tcW w:w="0" w:type="dxa"/>
            <w:vAlign w:val="bottom"/>
          </w:tcPr>
          <w:p>
            <w:pPr>
              <w:spacing w:after="0"/>
              <w:rPr>
                <w:sz w:val="1"/>
                <w:szCs w:val="1"/>
                <w:color w:val="auto"/>
              </w:rPr>
            </w:pPr>
          </w:p>
        </w:tc>
      </w:tr>
      <w:tr>
        <w:trPr>
          <w:trHeight w:val="241"/>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Other non-current liabilities . . . . . . . . . . . .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20"/>
        </w:trPr>
        <w:tc>
          <w:tcPr>
            <w:tcW w:w="7380" w:type="dxa"/>
            <w:vAlign w:val="bottom"/>
            <w:gridSpan w:val="2"/>
          </w:tcPr>
          <w:p>
            <w:pPr>
              <w:jc w:val="right"/>
              <w:ind w:right="34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 . . . . . . . . . . . . .Totalliabilities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153,747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142,591</w:t>
            </w:r>
          </w:p>
        </w:tc>
        <w:tc>
          <w:tcPr>
            <w:tcW w:w="0" w:type="dxa"/>
            <w:vAlign w:val="bottom"/>
          </w:tcPr>
          <w:p>
            <w:pPr>
              <w:spacing w:after="0"/>
              <w:rPr>
                <w:sz w:val="1"/>
                <w:szCs w:val="1"/>
                <w:color w:val="auto"/>
              </w:rPr>
            </w:pPr>
          </w:p>
        </w:tc>
      </w:tr>
      <w:tr>
        <w:trPr>
          <w:trHeight w:val="208"/>
        </w:trPr>
        <w:tc>
          <w:tcPr>
            <w:tcW w:w="738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Commitments and contingencies (Note 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Preferred stock, $0.0001 par value; 5,000,000 shares authorized and no shares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issued or outstanding at December 31, 2025 and December 31, 2024,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respectively . . . . . . . . . . . . . . . . . . . . . . . . . . . . . . . . . . . . . . . . . . . . . . . . . . . . . . . . .</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3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Common stock, $0.0001 par value; 400,000,000 and 400,000,000 shares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authorized and 215,927,600 and 157,749,490 shares issued and outstanding at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December 31, 2025 and December 31, 2024, respectively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1,811,311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1,206,412</w:t>
            </w:r>
          </w:p>
        </w:tc>
        <w:tc>
          <w:tcPr>
            <w:tcW w:w="0" w:type="dxa"/>
            <w:vAlign w:val="bottom"/>
          </w:tcPr>
          <w:p>
            <w:pPr>
              <w:spacing w:after="0"/>
              <w:rPr>
                <w:sz w:val="1"/>
                <w:szCs w:val="1"/>
                <w:color w:val="auto"/>
              </w:rPr>
            </w:pPr>
          </w:p>
        </w:tc>
      </w:tr>
      <w:tr>
        <w:trPr>
          <w:trHeight w:val="241"/>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 . . . . . .</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(1,157,023)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(891,084)</w:t>
            </w:r>
          </w:p>
        </w:tc>
        <w:tc>
          <w:tcPr>
            <w:tcW w:w="0" w:type="dxa"/>
            <w:vAlign w:val="bottom"/>
          </w:tcPr>
          <w:p>
            <w:pPr>
              <w:spacing w:after="0"/>
              <w:rPr>
                <w:sz w:val="1"/>
                <w:szCs w:val="1"/>
                <w:color w:val="auto"/>
              </w:rPr>
            </w:pPr>
          </w:p>
        </w:tc>
      </w:tr>
      <w:tr>
        <w:trPr>
          <w:trHeight w:val="219"/>
        </w:trPr>
        <w:tc>
          <w:tcPr>
            <w:tcW w:w="7380" w:type="dxa"/>
            <w:vAlign w:val="bottom"/>
            <w:gridSpan w:val="2"/>
          </w:tcPr>
          <w:p>
            <w:pPr>
              <w:jc w:val="right"/>
              <w:ind w:right="340"/>
              <w:spacing w:after="0" w:line="218" w:lineRule="exact"/>
              <w:rPr>
                <w:sz w:val="20"/>
                <w:szCs w:val="20"/>
                <w:color w:val="auto"/>
              </w:rPr>
            </w:pPr>
            <w:r>
              <w:rPr>
                <w:rFonts w:ascii="Times New Roman" w:cs="Times New Roman" w:eastAsia="Times New Roman" w:hAnsi="Times New Roman"/>
                <w:sz w:val="20"/>
                <w:szCs w:val="20"/>
                <w:color w:val="auto"/>
              </w:rPr>
              <w:t>. . . . . . . . . . . . . . . . . . . . . . . . . . . . . . . . . . . . . . . . . . .Totalstockholders’equity</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654,310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315,344</w:t>
            </w:r>
          </w:p>
        </w:tc>
        <w:tc>
          <w:tcPr>
            <w:tcW w:w="0" w:type="dxa"/>
            <w:vAlign w:val="bottom"/>
          </w:tcPr>
          <w:p>
            <w:pPr>
              <w:spacing w:after="0"/>
              <w:rPr>
                <w:sz w:val="1"/>
                <w:szCs w:val="1"/>
                <w:color w:val="auto"/>
              </w:rPr>
            </w:pPr>
          </w:p>
        </w:tc>
      </w:tr>
      <w:tr>
        <w:trPr>
          <w:trHeight w:val="240"/>
        </w:trPr>
        <w:tc>
          <w:tcPr>
            <w:tcW w:w="73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Total liabilities and stockholders’ equity .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808,057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457,935</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720"/>
          </w:cols>
          <w:pgMar w:left="1080" w:top="1062" w:right="1080" w:bottom="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color w:val="auto"/>
        </w:rPr>
        <w:t>OCULAR THERAPEUTIX,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Revenue: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Product revenue, net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Collaboration revenue . . . . . . . . . . . . . . . . . . . . . . . . . . . . . . . . . . .</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.Totalrevenue,net</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51,951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63,723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58,443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Costs and operating expenses: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Cost of product revenue . . . . . . . . . . . . . . . . . . . . . . . . . . . . . . . .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197,096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Selling and marketing . . . . . . . . . . . . . . . . . . . . . . . . . . . . . . . . . .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64,376</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60,653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auto"/>
              </w:rPr>
              <w:t>. . . . . . . . . . . . . . . . . . . . .Totalcostsandoperatingexpenses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321,968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235,504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140,825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.Lossfromoperations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(270,017)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(171,781)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(82,382)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6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Other income (expense):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w:t>
            </w:r>
          </w:p>
        </w:tc>
        <w:tc>
          <w:tcPr>
            <w:tcW w:w="120" w:type="dxa"/>
            <w:vAlign w:val="bottom"/>
          </w:tcPr>
          <w:p>
            <w:pPr>
              <w:spacing w:after="0"/>
              <w:rPr>
                <w:sz w:val="20"/>
                <w:szCs w:val="20"/>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(11,835)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(13,577)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(11,338)</w:t>
            </w:r>
          </w:p>
        </w:tc>
        <w:tc>
          <w:tcPr>
            <w:tcW w:w="0" w:type="dxa"/>
            <w:vAlign w:val="bottom"/>
          </w:tcPr>
          <w:p>
            <w:pPr>
              <w:spacing w:after="0"/>
              <w:rPr>
                <w:sz w:val="1"/>
                <w:szCs w:val="1"/>
                <w:color w:val="auto"/>
              </w:rPr>
            </w:pPr>
          </w:p>
        </w:tc>
      </w:tr>
      <w:tr>
        <w:trPr>
          <w:trHeight w:val="229"/>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Change in fair value of derivative liabilities . . . . . . . . . . . . . . . . .</w:t>
            </w:r>
          </w:p>
        </w:tc>
        <w:tc>
          <w:tcPr>
            <w:tcW w:w="120" w:type="dxa"/>
            <w:vAlign w:val="bottom"/>
          </w:tcPr>
          <w:p>
            <w:pPr>
              <w:spacing w:after="0"/>
              <w:rPr>
                <w:sz w:val="19"/>
                <w:szCs w:val="19"/>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(2,471)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(5,188)</w:t>
            </w:r>
          </w:p>
        </w:tc>
        <w:tc>
          <w:tcPr>
            <w:tcW w:w="0" w:type="dxa"/>
            <w:vAlign w:val="bottom"/>
          </w:tcPr>
          <w:p>
            <w:pPr>
              <w:spacing w:after="0"/>
              <w:rPr>
                <w:sz w:val="1"/>
                <w:szCs w:val="1"/>
                <w:color w:val="auto"/>
              </w:rPr>
            </w:pPr>
          </w:p>
        </w:tc>
      </w:tr>
      <w:tr>
        <w:trPr>
          <w:trHeight w:val="23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Gains and (losses) on extinguishment of debt, net . . . . . . . . . . . .</w:t>
            </w:r>
          </w:p>
        </w:tc>
        <w:tc>
          <w:tcPr>
            <w:tcW w:w="120" w:type="dxa"/>
            <w:vAlign w:val="bottom"/>
          </w:tcPr>
          <w:p>
            <w:pPr>
              <w:spacing w:after="0"/>
              <w:rPr>
                <w:sz w:val="20"/>
                <w:szCs w:val="20"/>
                <w:color w:val="auto"/>
              </w:rPr>
            </w:pPr>
          </w:p>
        </w:tc>
        <w:tc>
          <w:tcPr>
            <w:tcW w:w="12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(27,950)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Other gains (expenses) . . . . . . . . . . . . . . . . . . . . . . . . . . . . . . . . .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0"/>
        </w:trPr>
        <w:tc>
          <w:tcPr>
            <w:tcW w:w="586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auto"/>
              </w:rPr>
              <w:t>. . . . . . . . . . . . . . . . . . . . . .Totalotherincome(expense),net</w:t>
            </w: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4,078</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(21,725)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 . . . . . . . . . . . . . . . . . . . . . . . . . . . . . . . . . . . . . . . . . . . . . . . . . . .Netloss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(265,939)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(193,506)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(80,736)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.Netlosspershare,basic</w:t>
            </w: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(1.42)</w:t>
            </w:r>
          </w:p>
        </w:tc>
        <w:tc>
          <w:tcPr>
            <w:tcW w:w="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 . . . . . . . . . . . . .Weightedaveragecommonsharesoutstanding,basic</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187,241,483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158,265,162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79,827,362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 . . . . . . . . . . . . . . . . . . . . . . . . . . . . . . . . . . . .Netlosspershare,diluted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Weighted average common shares outstanding, diluted. .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187,241,483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158,265,162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85,596,594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8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9720"/>
          </w:cols>
          <w:pgMar w:left="1080" w:top="1085" w:right="1080" w:bottom="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0"/>
          <w:szCs w:val="20"/>
          <w:b w:val="1"/>
          <w:bCs w:val="1"/>
          <w:color w:val="auto"/>
        </w:rPr>
        <w:t>OCULAR THERAPEUTIX,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 (DEFICIT)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4"/>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8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10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9"/>
        </w:trPr>
        <w:tc>
          <w:tcPr>
            <w:tcW w:w="4240" w:type="dxa"/>
            <w:vAlign w:val="bottom"/>
            <w:gridSpan w:val="2"/>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w:t>
            </w:r>
          </w:p>
        </w:tc>
        <w:tc>
          <w:tcPr>
            <w:tcW w:w="11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77,201,819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652,213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(616,842)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35,379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exercise of</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stock options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in connection with</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employee stock purchase plan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290,691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public offering,</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net of issuance costs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36,934,926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117,257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vesting of</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restricted stock units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393,805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Stock-based compensation expense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6"/>
              </w:rPr>
              <w:t>Net Loss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(80,736)</w:t>
            </w:r>
          </w:p>
        </w:tc>
        <w:tc>
          <w:tcPr>
            <w:tcW w:w="0" w:type="dxa"/>
            <w:vAlign w:val="bottom"/>
          </w:tcPr>
          <w:p>
            <w:pPr>
              <w:spacing w:after="0"/>
              <w:rPr>
                <w:sz w:val="1"/>
                <w:szCs w:val="1"/>
                <w:color w:val="auto"/>
              </w:rPr>
            </w:pPr>
          </w:p>
        </w:tc>
      </w:tr>
      <w:tr>
        <w:trPr>
          <w:trHeight w:val="239"/>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 . . . . . . . . . . . . . .</w:t>
            </w:r>
            <w:r>
              <w:rPr>
                <w:rFonts w:ascii="Times New Roman" w:cs="Times New Roman" w:eastAsia="Times New Roman" w:hAnsi="Times New Roman"/>
                <w:sz w:val="20"/>
                <w:szCs w:val="20"/>
                <w:b w:val="1"/>
                <w:bCs w:val="1"/>
                <w:color w:val="auto"/>
              </w:rPr>
              <w:t>BalanceatDecember31,2023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114,963,193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788,697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(697,578)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Issuance of common stock upon exercise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14,741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stock options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3,112,976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in connection with</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employee stock purchase plan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and pre-funded</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32,413,560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316,350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316,353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warrants upon private placement. . . . . . . . . . . . .</w:t>
            </w: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exercise of</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conversion option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5,769,232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vesting of</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restricted stock units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1,277,398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Stock-based compensation expense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6"/>
              </w:rPr>
              <w:t>Net Loss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(193,506)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(193,506)</w:t>
            </w:r>
          </w:p>
        </w:tc>
        <w:tc>
          <w:tcPr>
            <w:tcW w:w="0" w:type="dxa"/>
            <w:vAlign w:val="bottom"/>
          </w:tcPr>
          <w:p>
            <w:pPr>
              <w:spacing w:after="0"/>
              <w:rPr>
                <w:sz w:val="1"/>
                <w:szCs w:val="1"/>
                <w:color w:val="auto"/>
              </w:rPr>
            </w:pPr>
          </w:p>
        </w:tc>
      </w:tr>
      <w:tr>
        <w:trPr>
          <w:trHeight w:val="239"/>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 . . . . . . . . . . . . . .</w:t>
            </w:r>
            <w:r>
              <w:rPr>
                <w:rFonts w:ascii="Times New Roman" w:cs="Times New Roman" w:eastAsia="Times New Roman" w:hAnsi="Times New Roman"/>
                <w:sz w:val="20"/>
                <w:szCs w:val="20"/>
                <w:b w:val="1"/>
                <w:bCs w:val="1"/>
                <w:color w:val="auto"/>
              </w:rPr>
              <w:t>BalanceatDecember31,2024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157,749,490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1,206,412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(891,084)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315,344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Issuance of common stock upon exercise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stock options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3,721,747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20,543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in connection with</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employee stock purchase plan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vesting of</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restricted stock units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1,551,706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exercise of</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pre-funded warrants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3,237,598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 public offering,</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539,585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net of issuance costs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49,457,382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539,580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Stock-based compensation expense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43,184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6"/>
              </w:rPr>
              <w:t>Net loss.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(265,939)</w:t>
            </w:r>
          </w:p>
        </w:tc>
        <w:tc>
          <w:tcPr>
            <w:tcW w:w="0" w:type="dxa"/>
            <w:vAlign w:val="bottom"/>
          </w:tcPr>
          <w:p>
            <w:pPr>
              <w:spacing w:after="0"/>
              <w:rPr>
                <w:sz w:val="1"/>
                <w:szCs w:val="1"/>
                <w:color w:val="auto"/>
              </w:rPr>
            </w:pPr>
          </w:p>
        </w:tc>
      </w:tr>
      <w:tr>
        <w:trPr>
          <w:trHeight w:val="240"/>
        </w:trPr>
        <w:tc>
          <w:tcPr>
            <w:tcW w:w="42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Balance at December 31, 2025</w:t>
            </w:r>
            <w:r>
              <w:rPr>
                <w:rFonts w:ascii="Times New Roman" w:cs="Times New Roman" w:eastAsia="Times New Roman" w:hAnsi="Times New Roman"/>
                <w:sz w:val="20"/>
                <w:szCs w:val="20"/>
                <w:color w:val="auto"/>
                <w:w w:val="98"/>
              </w:rPr>
              <w:t>. . . . . . . . . . . . . . .</w:t>
            </w:r>
          </w:p>
        </w:tc>
        <w:tc>
          <w:tcPr>
            <w:tcW w:w="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215,927,600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1,811,311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(1,157,023)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9720"/>
          </w:cols>
          <w:pgMar w:left="1080" w:top="1062" w:right="1080" w:bottom="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auto"/>
        </w:rPr>
        <w:t>OCULAR THERAPEUTIX, INC.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11"/>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9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0"/>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Net loss . . .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(265,939)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(193,506)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(80,736)</w:t>
            </w:r>
          </w:p>
        </w:tc>
        <w:tc>
          <w:tcPr>
            <w:tcW w:w="0" w:type="dxa"/>
            <w:vAlign w:val="bottom"/>
          </w:tcPr>
          <w:p>
            <w:pPr>
              <w:spacing w:after="0"/>
              <w:rPr>
                <w:sz w:val="1"/>
                <w:szCs w:val="1"/>
                <w:color w:val="auto"/>
              </w:rPr>
            </w:pPr>
          </w:p>
        </w:tc>
      </w:tr>
      <w:tr>
        <w:trPr>
          <w:trHeight w:val="20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Stock-based compensation expense . . . . . . . . . . . . . . . . . . . . . . . . . . . . . . . . . . . .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Non-cash interest expense . . . . . . . . . . . . . . . . . . . . . . . . . . . . . . . . . . . . . . . . . . . . .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Change in fair value of derivative liabilities . . . . . . . . . . . . . . . . . . . . . . . . . . . . . .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Depreciation and amortization expense . . . . . . . . . . . . . . . . . . . . . . . . . . . . . . . . . . .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Gains and losses on disposal of items of property and equipment . . . . . . . . . . . . .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Gains and losses on extinguishment of debt, net . . . . . . . . . . . . . . . . . . . . . . . . . . . . .</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(14,190)</w:t>
            </w:r>
          </w:p>
        </w:tc>
        <w:tc>
          <w:tcPr>
            <w:tcW w:w="0" w:type="dxa"/>
            <w:vAlign w:val="bottom"/>
          </w:tcPr>
          <w:p>
            <w:pPr>
              <w:spacing w:after="0"/>
              <w:rPr>
                <w:sz w:val="1"/>
                <w:szCs w:val="1"/>
                <w:color w:val="auto"/>
              </w:rPr>
            </w:pPr>
          </w:p>
        </w:tc>
      </w:tr>
      <w:tr>
        <w:trPr>
          <w:trHeight w:val="207"/>
        </w:trPr>
        <w:tc>
          <w:tcPr>
            <w:tcW w:w="696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Accounts receivable, net . . . . . . . . . . . . . . . . . . . . . . . . . . . . . . . . . . . . . . . . . . . .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Prepaid expenses and other current assets . . . . . . . . . . . . . . . . . . . . . . . . . . . . .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Inventory . . . . . . . . . . . . . . . . . . . . . . . . . . . . . . . . . . . . . . . . . . . . . . . . . . . . . . . . .</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7"/>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Accounts payable . . . . . . . . . . . . . . . . . . . . . . . . . . . . . . . . . . . . . . . . . . . . . . .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Operating lease assets . . . . . . . . . . . . . . . . . . . . . . . . . . . . . . . . . . . . . . . . . . . . . .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Accrued expenses . . . . . . . . . . . . . . . . . . . . . . . . . . . . . . . . . . . . . . . . . . . . . . .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Deferred revenue . . . . . . . . . . . . . . . . . . . . . . . . . . . . . . . . . . . . . . . . . . . . . . . . . . .</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Operating lease liabilities . . . . . . . . . . . . . . . . . . . . . . . . . . . . . . . . . . . . . . . . . . . .</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60" w:type="dxa"/>
            <w:vAlign w:val="bottom"/>
          </w:tcPr>
          <w:p>
            <w:pPr>
              <w:jc w:val="right"/>
              <w:ind w:right="150"/>
              <w:spacing w:after="0" w:line="193" w:lineRule="exact"/>
              <w:rPr>
                <w:sz w:val="20"/>
                <w:szCs w:val="20"/>
                <w:color w:val="auto"/>
              </w:rPr>
            </w:pPr>
            <w:r>
              <w:rPr>
                <w:rFonts w:ascii="Times New Roman" w:cs="Times New Roman" w:eastAsia="Times New Roman" w:hAnsi="Times New Roman"/>
                <w:sz w:val="18"/>
                <w:szCs w:val="18"/>
                <w:color w:val="auto"/>
              </w:rPr>
              <w:t>. . . . . . . . . . . . . . . . . . . . . . . . . . . . . . . . . . . . . . . . .Netcashusedinoperatingactivities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99"/>
              </w:rPr>
              <w:t>(204,883)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w w:val="99"/>
              </w:rPr>
              <w:t>(134,677)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(70,234)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Purchases of property and equipment . . . . . . . . . . . . . . . . . . . . . . . . . . . . . . . . . . . . .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Proceeds from sales of property and equipment . . . . . . . . . . . . . . . . . . . . . . . . . . . . . . .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960" w:type="dxa"/>
            <w:vAlign w:val="bottom"/>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 . . . . . . . . . . . . . . . . . . . . . . . . . . . . . . . . . . . . . . . .Netcashusedininvestingactivities</w:t>
            </w: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(11,880)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Proceeds from issuance of short-term bridge loan . . . . . . . . . . . . . . . . . . . . . . . . . . . . . . .</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Proceeds from issuance of Barings Notes Payable . . . . . . . . . . . . . . . . . . . . . . . . . . . . . .</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Proceeds from exercise of stock options . . . . . . . . . . . . . . . . . . . . . . . . . . . . . . . . . . . . .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Proceeds from issuance of common stock pursuant to employee stock purchase plan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Payments of debt refinancing costs . . . . . . . . . . . . . . . . . . . . . . . . . . . . . . . . . . . . . . . . . .</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Proceeds from issuance of common stock upon public offering, net of issuance costs . . .</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539,585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Repayment of MidCap notes payable . . . . . . . . . . . . . . . . . . . . . . . . . . . . . . . . . . . . . . . .</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(26,125)</w:t>
            </w:r>
          </w:p>
        </w:tc>
        <w:tc>
          <w:tcPr>
            <w:tcW w:w="0" w:type="dxa"/>
            <w:vAlign w:val="bottom"/>
          </w:tcPr>
          <w:p>
            <w:pPr>
              <w:spacing w:after="0"/>
              <w:rPr>
                <w:sz w:val="1"/>
                <w:szCs w:val="1"/>
                <w:color w:val="auto"/>
              </w:rPr>
            </w:pPr>
          </w:p>
        </w:tc>
      </w:tr>
      <w:tr>
        <w:trPr>
          <w:trHeight w:val="206"/>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Repayment from issuance of short-term bridge loan . . . . . . . . . . . . . . . . . . . . . . . . . . . . .</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upon private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placement, net of issuance costs . . . . . . . . . . . . . . . . . . . . . . . . . . . . . . . . . . . . . . . . . . .</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6960" w:type="dxa"/>
            <w:vAlign w:val="bottom"/>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 . . . . . . . . . . . . . . . . . . . . . . . . . . . . . . . . . . . .Netcashprovidedbyfinancingactivities</w:t>
            </w: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561,721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332,110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169,828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6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 . . . . . . . . . . . . . . . . . . . . . . . . .</w:t>
            </w:r>
            <w:r>
              <w:rPr>
                <w:rFonts w:ascii="Times New Roman" w:cs="Times New Roman" w:eastAsia="Times New Roman" w:hAnsi="Times New Roman"/>
                <w:sz w:val="18"/>
                <w:szCs w:val="18"/>
                <w:b w:val="1"/>
                <w:bCs w:val="1"/>
                <w:color w:val="auto"/>
              </w:rPr>
              <w:t>Netincreaseincash,cashequivalentsandrestrictedcash</w:t>
            </w:r>
          </w:p>
        </w:tc>
        <w:tc>
          <w:tcPr>
            <w:tcW w:w="1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344,958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196,145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93,507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Cash, cash equivalents and restricted cash at beginning of period . . . . . . . . . . . . . . . . . . . . . . .</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60" w:type="dxa"/>
            <w:vAlign w:val="bottom"/>
          </w:tcPr>
          <w:p>
            <w:pPr>
              <w:jc w:val="right"/>
              <w:ind w:right="150"/>
              <w:spacing w:after="0" w:line="206" w:lineRule="exact"/>
              <w:rPr>
                <w:sz w:val="20"/>
                <w:szCs w:val="20"/>
                <w:color w:val="auto"/>
              </w:rPr>
            </w:pPr>
            <w:r>
              <w:rPr>
                <w:rFonts w:ascii="Times New Roman" w:cs="Times New Roman" w:eastAsia="Times New Roman" w:hAnsi="Times New Roman"/>
                <w:sz w:val="18"/>
                <w:szCs w:val="18"/>
                <w:color w:val="auto"/>
              </w:rPr>
              <w:t>. . . . . . . . . . . . . . . . . . . . . . . . . . . .Cash,cashequivalentsandrestrictedcashatendofperiod</w:t>
            </w:r>
          </w:p>
        </w:tc>
        <w:tc>
          <w:tcPr>
            <w:tcW w:w="1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738,674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393,716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197,571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60" w:type="dxa"/>
            <w:vAlign w:val="bottom"/>
          </w:tcPr>
          <w:p>
            <w:pPr>
              <w:jc w:val="right"/>
              <w:ind w:right="150"/>
              <w:spacing w:after="0" w:line="204" w:lineRule="exact"/>
              <w:rPr>
                <w:sz w:val="20"/>
                <w:szCs w:val="20"/>
                <w:color w:val="auto"/>
              </w:rPr>
            </w:pPr>
            <w:r>
              <w:rPr>
                <w:rFonts w:ascii="Times New Roman" w:cs="Times New Roman" w:eastAsia="Times New Roman" w:hAnsi="Times New Roman"/>
                <w:sz w:val="18"/>
                <w:szCs w:val="18"/>
                <w:color w:val="auto"/>
              </w:rPr>
              <w:t>Cash paid for interest . . . . . . . . . . . . . . . . . . . . . . . . . . . . . . . . . . . . . . . . . . . . . . . . . . . . . . .</w:t>
            </w:r>
          </w:p>
        </w:tc>
        <w:tc>
          <w:tcPr>
            <w:tcW w:w="1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9,029</w:t>
            </w:r>
          </w:p>
        </w:tc>
        <w:tc>
          <w:tcPr>
            <w:tcW w:w="80" w:type="dxa"/>
            <w:vAlign w:val="bottom"/>
          </w:tcPr>
          <w:p>
            <w:pPr>
              <w:spacing w:after="0"/>
              <w:rPr>
                <w:sz w:val="17"/>
                <w:szCs w:val="17"/>
                <w:color w:val="auto"/>
              </w:rPr>
            </w:pPr>
          </w:p>
        </w:tc>
        <w:tc>
          <w:tcPr>
            <w:tcW w:w="18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21,533</w:t>
            </w:r>
          </w:p>
        </w:tc>
        <w:tc>
          <w:tcPr>
            <w:tcW w:w="80" w:type="dxa"/>
            <w:vAlign w:val="bottom"/>
          </w:tcPr>
          <w:p>
            <w:pPr>
              <w:spacing w:after="0"/>
              <w:rPr>
                <w:sz w:val="17"/>
                <w:szCs w:val="17"/>
                <w:color w:val="auto"/>
              </w:rPr>
            </w:pPr>
          </w:p>
        </w:tc>
        <w:tc>
          <w:tcPr>
            <w:tcW w:w="1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 and accrued expenses .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8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9720"/>
          </w:cols>
          <w:pgMar w:left="1080" w:top="1085" w:right="1080" w:bottom="0" w:gutter="0" w:footer="0" w:header="0"/>
          <w:type w:val="continuous"/>
        </w:sectPr>
      </w:pPr>
    </w:p>
    <w:bookmarkStart w:id="151" w:name="page152"/>
    <w:bookmarkEnd w:id="151"/>
    <w:p>
      <w:pPr>
        <w:jc w:val="center"/>
        <w:spacing w:after="0" w:line="490" w:lineRule="auto"/>
        <w:rPr>
          <w:sz w:val="20"/>
          <w:szCs w:val="20"/>
          <w:color w:val="auto"/>
        </w:rPr>
      </w:pPr>
      <w:r>
        <w:rPr>
          <w:rFonts w:ascii="Times New Roman" w:cs="Times New Roman" w:eastAsia="Times New Roman" w:hAnsi="Times New Roman"/>
          <w:sz w:val="20"/>
          <w:szCs w:val="20"/>
          <w:b w:val="1"/>
          <w:bCs w:val="1"/>
          <w:color w:val="auto"/>
        </w:rPr>
        <w:t>OCULAR THERAPEUTIX, INC. NOTES TO CONSOLIDATED FINANCIAL STATEMENTS (Amounts in thousands, except share and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the Business</w:t>
      </w:r>
    </w:p>
    <w:p>
      <w:pPr>
        <w:spacing w:after="0" w:line="24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Ocular Therapeutix, Inc. (the “Company”) was incorporated on September 12, 2006 under the laws of the State of Delaware. The Company is an integrated biopharmaceutical company committed to redefining the retina experience. AXPAXLI (also known as OTX- TKI), the Company’s investigational product candidate for retinal disease, is an axitinib intravitreal hydrogel based on its ELUTYX proprietary bioresorbable hydrogel-based formulation technology. AXPAXLI is currently being evaluated in a Phase 3 registrational program for wet age-related macular degeneration (“wet AMD”) and a Phase 3 registrational program for diabetic retinal disease, including non-proliferative diabetic retinopathy (“NPDR”).</w:t>
      </w:r>
    </w:p>
    <w:p>
      <w:pPr>
        <w:spacing w:after="0" w:line="201"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Company also leverages the ELUTYX technology in its commercial product DEXTENZA, a corticosteroid approved by the U.S. Food and Drug Administration (“FDA”) for the treatment of ocular inflammation and pain following ophthalmic surgery in adults and pediatric patients and for the treatment of ocular itching associated with allergic conjunctivitis in adults and pediatric patients aged two years or older, and in its investigational product candidate OTX-TIC, which is a travoprost intracameral hydrogel for which the Company completed a Phase 2 clinical trial for the treatment of open-angle glaucoma (“OAG”) or ocular hypertension (“OHT”). The Company is currently evaluating next steps for the OTX-TIC program.</w:t>
      </w:r>
    </w:p>
    <w:p>
      <w:pPr>
        <w:spacing w:after="0" w:line="19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Company is subject to risks common to companies in the biotechnology industry including, but not limited to, new technological innovations, protection of proprietary technology, dependence on key personnel, dependence on specific programs, compliance with government regulations, regulatory approval and compliance, reimbursement, uncertainty of market acceptance of products and the need to obtain additional financing. Product candidates currently under development will require significant additional research and development efforts, including extensive preclinical and clinical testing and regulatory approval, prior to commercialization. Approved products will require significant sales, marketing and distribution support. There can be no assurance that the Company’s research and development will be successfully completed, that adequate protection for the Company’s intellectual property will be obtained, that any products developed will obtain necessary government regulatory approval and adequate reimbursement or that any approved products will be commercially viable. Even if the Company’s product development efforts are successful, it is uncertain when, if ever, the Company will generate significant revenue from product sales. The Company operates in an environment of rapidly changing technology and substantial competition from pharmaceutical and biotechnology companies. In addition, the Company is dependent upon the services of its employees and consultants. The Company may not be able to generate significant revenue from sales of any product for several years, if at all. Accordingly, the Company will need to obtain additional capital to finance its operations.</w:t>
      </w:r>
    </w:p>
    <w:p>
      <w:pPr>
        <w:spacing w:after="0" w:line="19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 Company has incurred losses and negative cash flows from operations since its inception, and the Company expects to continue to generate operating losses and negative cash flows from operations in the foreseeable future. As of December 31, 2025, the Company had an accumulated deficit of $1,157,023. Based on its current operating plan which includes estimates of anticipated cash inflows from product sales and cash outflows from operating expenses and capital expenditures, the Company believes that its existing cash and cash equivalents of $737,060 as of December 31, 2025 will enable it to fund its planned operating expenses, debt service obligations and capital expenditures at least through the next 12 months from the issuance date of these consolidated financial statements while the Company observes a minimum liquidity covenant of $20,000 in its credit facility (Note 9).</w:t>
      </w:r>
    </w:p>
    <w:p>
      <w:pPr>
        <w:spacing w:after="0" w:line="202"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 future viability of the Company is dependent on the Company’s ability to generate cash flows from the sales of the Company’s product candidates, such as AXPAXLI, if and as approved, and the sales of DEXTENZA, and to raise additional capital to finance its operations. The Company will need to finance its operations through public or private securities offerings, debt financings, collaborations, strategic alliances, licensing agreements, royalty agreements, or marketing and distribution agreements. Although the Company has been successful in raising capital in the past, there is no assurance that it will be successful in obtaining such additional financing on terms acceptable to the Company, if at all. If the Company is unable to obtain funding on a timely basis, in sufficient amounts, or at all, the Company could be forced to delay, reduce or eliminate some or all of its research and development programs for product candidates,</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9720"/>
          </w:cols>
          <w:pgMar w:left="1080" w:top="1062" w:right="1080" w:bottom="0" w:gutter="0" w:footer="0" w:header="0"/>
          <w:type w:val="continuous"/>
        </w:sectPr>
      </w:pPr>
    </w:p>
    <w:bookmarkStart w:id="152" w:name="page153"/>
    <w:bookmarkEnd w:id="152"/>
    <w:p>
      <w:pPr>
        <w:ind w:right="120"/>
        <w:spacing w:after="0" w:line="280" w:lineRule="auto"/>
        <w:rPr>
          <w:sz w:val="20"/>
          <w:szCs w:val="20"/>
          <w:color w:val="auto"/>
        </w:rPr>
      </w:pPr>
      <w:r>
        <w:rPr>
          <w:rFonts w:ascii="Times New Roman" w:cs="Times New Roman" w:eastAsia="Times New Roman" w:hAnsi="Times New Roman"/>
          <w:sz w:val="20"/>
          <w:szCs w:val="20"/>
          <w:color w:val="auto"/>
        </w:rPr>
        <w:t>product portfolio expansion or commercialization efforts, any of which could adversely affect its business prospects, or the Company may be unable to continue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23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(“GAAP”). The accompanying consolidated financial statements reflect the operations of the Company and its wholly-owned subsidiaries. All intercompany accounts and transactions have been eliminated.</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periods. Significant estimates and assumptions reflected in these consolidated financial statements include, but are not limited to, the measurement and recognition of reserves for variable consideration related to product sales, revenue recognition related to a collaboration agreement that contains multiple promises, the fair value of derivatives, stock-based compensation, and realizability of net deferred tax assets. Estimates are periodically reviewed in light of changes in circumstances, facts and experience. Actual results could differ from the Company’s estimates.</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w:t>
      </w:r>
    </w:p>
    <w:p>
      <w:pPr>
        <w:spacing w:after="0" w:line="238"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20"/>
          <w:szCs w:val="20"/>
          <w:color w:val="auto"/>
        </w:rPr>
        <w:t>The Company considers all short-term, highly liquid investments with original maturities of ninety days or less at date of purchase to be cash equivalents. Cash equivalents, which primarily consist of investments in money market funds, are stated at fair value.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Contracts with Customers </w:t>
      </w:r>
      <w:r>
        <w:rPr>
          <w:rFonts w:ascii="Times New Roman" w:cs="Times New Roman" w:eastAsia="Times New Roman" w:hAnsi="Times New Roman"/>
          <w:sz w:val="20"/>
          <w:szCs w:val="20"/>
          <w:color w:val="auto"/>
        </w:rPr>
        <w:t>(“ASC 606”). Under ASC 606, an entity recognizes revenue when a customer obtains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promised goods or services, in an amount that reflects the consideration which the entity expects to be entitled to in exchange for those goods or services.</w:t>
      </w:r>
    </w:p>
    <w:p>
      <w:pPr>
        <w:spacing w:after="0" w:line="19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Product Revenue</w:t>
      </w:r>
    </w:p>
    <w:p>
      <w:pPr>
        <w:spacing w:after="0" w:line="238"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The Company sells DEXTENZA in the United States primarily to a limited number of specialty distributors (“SDs”) under individually negotiated distribution agreements. These customers then subsequently resell DEXTENZA to ambulatory surgery centers (“ASCs”), hospital outpatient departments (“HOPDs”) and physicians’ offices. The Company also sells DEXTENZA directly to a small population of ASCs and physicians’ offices based on individually negotiated direct distribution agreements (the “Direct Customers”). In addition, the Company enters into arrangements with health care providers and payors that provide for government mandated or privately negotiated rebates and chargebacks with respect to the purchase of DEXTENZA.</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9680"/>
          </w:cols>
          <w:pgMar w:left="1080" w:top="1064" w:right="1120" w:bottom="0" w:gutter="0" w:footer="0" w:header="0"/>
          <w:type w:val="continuous"/>
        </w:sectPr>
      </w:pPr>
    </w:p>
    <w:bookmarkStart w:id="153" w:name="page154"/>
    <w:bookmarkEnd w:id="153"/>
    <w:p>
      <w:pPr>
        <w:ind w:right="60" w:firstLine="490"/>
        <w:spacing w:after="0" w:line="260" w:lineRule="auto"/>
        <w:rPr>
          <w:sz w:val="20"/>
          <w:szCs w:val="20"/>
          <w:color w:val="auto"/>
        </w:rPr>
      </w:pPr>
      <w:r>
        <w:rPr>
          <w:rFonts w:ascii="Times New Roman" w:cs="Times New Roman" w:eastAsia="Times New Roman" w:hAnsi="Times New Roman"/>
          <w:sz w:val="20"/>
          <w:szCs w:val="20"/>
          <w:color w:val="auto"/>
        </w:rPr>
        <w:t>The Company recognizes revenue on product sales when the customer obtains control of the Company's product, which occurs at a point in time (upon delivery to the customer). Product revenues are recorded net of applicable reserves for variable consideration, including discounts and allowances.</w:t>
      </w:r>
    </w:p>
    <w:p>
      <w:pPr>
        <w:spacing w:after="0" w:line="183"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Transaction Price, including Variable Consideration— Revenues from product sales are recorded net of off-invoice discounts and reserves which are established for our estimate of variable consideration. Components of variable consideration include trade discounts and allowances, product returns, government chargebacks, discounts and rebates, and other incentives, such as voluntary patient assistance, and other fee-for-service amounts that are detailed within contracts between the Company and its customers. These reserves, as detailed below, are based on the amounts earned, or to be claimed on the related sales, and are classified as reductions of accounts receivable or a current liability. These estimates take into consideration a range of possible outcomes which are probability -weighted in accordance with the expected value method in ASC 606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spacing w:after="0" w:line="199" w:lineRule="exact"/>
        <w:rPr>
          <w:sz w:val="20"/>
          <w:szCs w:val="20"/>
          <w:color w:val="auto"/>
        </w:rPr>
      </w:pPr>
    </w:p>
    <w:p>
      <w:pPr>
        <w:ind w:right="140" w:firstLine="489"/>
        <w:spacing w:after="0" w:line="248" w:lineRule="auto"/>
        <w:rPr>
          <w:sz w:val="20"/>
          <w:szCs w:val="20"/>
          <w:color w:val="auto"/>
        </w:rPr>
      </w:pPr>
      <w:r>
        <w:rPr>
          <w:rFonts w:ascii="Times New Roman" w:cs="Times New Roman" w:eastAsia="Times New Roman" w:hAnsi="Times New Roman"/>
          <w:sz w:val="20"/>
          <w:szCs w:val="20"/>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the Company’s estimates. If actual results in the future vary from the Company’s original estimates, the Company will adjust these estimates, which would affect net product revenue and earnings in the period such variances become known.</w:t>
      </w:r>
    </w:p>
    <w:p>
      <w:pPr>
        <w:spacing w:after="0" w:line="193" w:lineRule="exact"/>
        <w:rPr>
          <w:sz w:val="20"/>
          <w:szCs w:val="20"/>
          <w:color w:val="auto"/>
        </w:rPr>
      </w:pPr>
    </w:p>
    <w:p>
      <w:pPr>
        <w:ind w:right="280" w:firstLine="490"/>
        <w:spacing w:after="0" w:line="250" w:lineRule="auto"/>
        <w:rPr>
          <w:sz w:val="20"/>
          <w:szCs w:val="20"/>
          <w:color w:val="auto"/>
        </w:rPr>
      </w:pPr>
      <w:r>
        <w:rPr>
          <w:rFonts w:ascii="Times New Roman" w:cs="Times New Roman" w:eastAsia="Times New Roman" w:hAnsi="Times New Roman"/>
          <w:sz w:val="20"/>
          <w:szCs w:val="20"/>
          <w:color w:val="auto"/>
        </w:rPr>
        <w:t>Trade Discounts and Allowances—The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within the statement of operations and comprehensive loss, as well as a reduction to accounts receivables, net on the consolidated balance sheets.</w:t>
      </w:r>
    </w:p>
    <w:p>
      <w:pPr>
        <w:spacing w:after="0" w:line="193" w:lineRule="exact"/>
        <w:rPr>
          <w:sz w:val="20"/>
          <w:szCs w:val="20"/>
          <w:color w:val="auto"/>
        </w:rPr>
      </w:pPr>
    </w:p>
    <w:p>
      <w:pPr>
        <w:ind w:firstLine="489"/>
        <w:spacing w:after="0" w:line="246" w:lineRule="auto"/>
        <w:rPr>
          <w:sz w:val="20"/>
          <w:szCs w:val="20"/>
          <w:color w:val="auto"/>
        </w:rPr>
      </w:pPr>
      <w:r>
        <w:rPr>
          <w:rFonts w:ascii="Times New Roman" w:cs="Times New Roman" w:eastAsia="Times New Roman" w:hAnsi="Times New Roman"/>
          <w:sz w:val="20"/>
          <w:szCs w:val="20"/>
          <w:color w:val="auto"/>
        </w:rPr>
        <w:t>Product Returns— Consistent with industry practice, the Company generally offers customers a limited right of return for product that has been purchased from the Company based on the products expiration date. The Company estimates the amount of its product sales that may be returned by its customers and records this estimate as a reduction of revenue in the period the related product revenue is recognized, as well as within accrued expenses and other current liabilities, in the accompanying consolidated balance sheets. The Company currently estimates product return reserves using available industry data and its own sales information, including its visibility into the inventory remaining in the distribution channel.</w:t>
      </w:r>
    </w:p>
    <w:p>
      <w:pPr>
        <w:spacing w:after="0" w:line="19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Government Chargebacks— Chargebacks for fees and discounts to qualified government healthcare providers represent the estimated obligations resulting from contractual commitments to sell products to qualified U.S. Department of Veterans Affairs hospitals and entities that are subject to the U.S. federal government 340B Drug Discount Program at prices lower than the list prices charged to SDs and Direct Customers. Chargeback amounts are generally determined at the time of resale to the qualified government healthcare provider by SDs and Direct Customers, and the Company generally issues credits for such amounts within a few weeks of the customer’s notification to the Company of the resale. Allowance for chargebacks also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 These allowances are established in the same period that the related revenue is recognized, resulting in a reduction of product revenue and accounts receivables, net.</w:t>
      </w:r>
    </w:p>
    <w:p>
      <w:pPr>
        <w:spacing w:after="0" w:line="19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Government Rebates— The Company is subject to discount obligations under state Medicaid programs and Medicare. These 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For Medicaid programs, the Company estimates the portion of sales attributed to Medicaid patients and records a liability for the rebates to be paid to the respective state Medicaid programs. The Company’s liability for these rebates consists of invoices received for claims from prior quarters that have not been paid or for which an invoice has not yet</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9720"/>
          </w:cols>
          <w:pgMar w:left="1080" w:top="1064" w:right="1080" w:bottom="0" w:gutter="0" w:footer="0" w:header="0"/>
          <w:type w:val="continuous"/>
        </w:sectPr>
      </w:pPr>
    </w:p>
    <w:bookmarkStart w:id="154" w:name="page155"/>
    <w:bookmarkEnd w:id="154"/>
    <w:p>
      <w:pPr>
        <w:ind w:right="120"/>
        <w:spacing w:after="0" w:line="260" w:lineRule="auto"/>
        <w:rPr>
          <w:sz w:val="20"/>
          <w:szCs w:val="20"/>
          <w:color w:val="auto"/>
        </w:rPr>
      </w:pPr>
      <w:r>
        <w:rPr>
          <w:rFonts w:ascii="Times New Roman" w:cs="Times New Roman" w:eastAsia="Times New Roman" w:hAnsi="Times New Roman"/>
          <w:sz w:val="20"/>
          <w:szCs w:val="20"/>
          <w:color w:val="auto"/>
        </w:rPr>
        <w:t>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8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Purchaser/Provider Discounts and Rebates— The Company offers rebate payments for which ASCs, HOPDs and other prescribers qualify by meeting quarterly purchase volumes of DEXTENZA under the Company’s volume-based rebate program. The Company calculates rebate payment amounts due under this program quarterly, based on actual qualifying purchases and applies a contractual discount rate. In the third quarter of 2022, the Company implemented a separate off-invoice discount (“OID”) rebate program whereby end-users receive the discounted price immediately upon purchase, rather than having to wait until the end of the quarter for a rebate payment. The OID amounts are generally determined at the time of resale by SDs or direct sales to ASCs by the Company. The Company generally issues credits for such amounts within a few weeks of the SD’s notification to the Company of the resale. The Company includes the OID on the invoice when it sells to an ASC directly. The calculation of the accrual for all rebates is based on an estimate of claims that the Company expects to receive associated with product that has been recognized as revenue but also remains in the distribution channel inventories at the end of each reporting period. The adjustments are recorded in the same period the related revenue is recognized, resulting in a reduction of product revenue and the establishment of a current liability which is included as an accrued expenses and other current liabilities for volume-based rebates and as a reduction of accounts receivable for OID rebates.</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Other Incentives— Other incentives which the Company offers include voluntary patient assistance programs, such as the co-pay assistance program, which are intended to provide financial assistance to qualified commercially-insured patients with prescription drug co- payments required by payors.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an accrued expenses and other current liabilities on the consolidated balance sheets.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23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The Company evaluates contracts that contain multiple promises to determine which promises are distinct.</w:t>
      </w:r>
    </w:p>
    <w:p>
      <w:pPr>
        <w:jc w:val="center"/>
        <w:ind w:right="220"/>
        <w:spacing w:after="0"/>
        <w:rPr>
          <w:sz w:val="20"/>
          <w:szCs w:val="20"/>
          <w:color w:val="auto"/>
        </w:rPr>
      </w:pPr>
      <w:r>
        <w:rPr>
          <w:rFonts w:ascii="Times New Roman" w:cs="Times New Roman" w:eastAsia="Times New Roman" w:hAnsi="Times New Roman"/>
          <w:sz w:val="20"/>
          <w:szCs w:val="20"/>
          <w:color w:val="auto"/>
        </w:rPr>
        <w:t>Promises are considered to be distinct and therefore, accounted for as separate performance obligations, provided that:</w:t>
      </w:r>
    </w:p>
    <w:p>
      <w:pPr>
        <w:ind w:right="40" w:firstLine="7"/>
        <w:spacing w:after="0"/>
        <w:tabs>
          <w:tab w:leader="none" w:pos="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 can benefit from the good or service either on its own or together with other resources that are readily available to the customer and (ii) the promise to transfer the good or service to the customer is separately identifiable from other promises in the contract. In assessing whether a promise is distinct, the Company considers factors such as whether: (i) the Company provides a significant service of integrating goods and/or services with other goods and/or services promised in the contract; (ii) one or more of the goods and/or services significantly modifies or customizes, or are significantly modified or customized by one or more of the other goods and/or services promised in the contract; and</w:t>
      </w:r>
    </w:p>
    <w:p>
      <w:pPr>
        <w:ind w:right="40" w:firstLine="8"/>
        <w:spacing w:after="0" w:line="246" w:lineRule="auto"/>
        <w:tabs>
          <w:tab w:leader="none" w:pos="35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goods and/or services are highly interdependent or highly interrelated. Individual goods or services (or bundles of goods and/or services) that meet both criteria for being distinct are accounted for as separate performance obligations. Promises that are not distinct at contract inception are combined and accounted for as a single performance obligation. Options to acquire additional goods and/or services are evaluated to determine if such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upon the customer’s election.</w:t>
      </w:r>
    </w:p>
    <w:p>
      <w:pPr>
        <w:spacing w:after="0" w:line="19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 Company considers the existence of any significant financing component within its arrangements based on whether a substantive business purpose exists to support the payment structure other than to provide a significant benefit of financing. The Company measures the transaction price based on the amount of consideration to which the Company expects to be entitled in exchange for transferring the promised goods and/or services to the customer. The Company utilizes either the expected value method or the most likely amount method to estimate the amount of variable consideration, depending on which method is expected to better predict the amount of consideration to which the Company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the Company evaluates whether the associated event is considered likely of achievement and estimates the amount to be included in the transaction price using the most likely amount</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9700"/>
          </w:cols>
          <w:pgMar w:left="1080" w:top="1064" w:right="1100" w:bottom="0" w:gutter="0" w:footer="0" w:header="0"/>
          <w:type w:val="continuous"/>
        </w:sectPr>
      </w:pPr>
    </w:p>
    <w:bookmarkStart w:id="155" w:name="page156"/>
    <w:bookmarkEnd w:id="155"/>
    <w:p>
      <w:pPr>
        <w:spacing w:after="0" w:line="244" w:lineRule="auto"/>
        <w:rPr>
          <w:sz w:val="20"/>
          <w:szCs w:val="20"/>
          <w:color w:val="auto"/>
        </w:rPr>
      </w:pPr>
      <w:r>
        <w:rPr>
          <w:rFonts w:ascii="Times New Roman" w:cs="Times New Roman" w:eastAsia="Times New Roman" w:hAnsi="Times New Roman"/>
          <w:sz w:val="20"/>
          <w:szCs w:val="20"/>
          <w:color w:val="auto"/>
        </w:rPr>
        <w:t>method. Milestone payments that are not within the Company’s control or the control of the licensee, such as those dependent upon receipt of regulatory approval, are not considered to be likely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239"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Accounts receivable arise from product sales and are recognized at the amounts invoiced to customers, net of applicable reserves for variable consideration. The Company analyzes the actual payment history of its customers, the aging of receivables, current customer-specific developments and economic trends to estimate the reserve for current expected credit losses.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38" w:lineRule="exact"/>
        <w:rPr>
          <w:sz w:val="20"/>
          <w:szCs w:val="20"/>
          <w:color w:val="auto"/>
        </w:rPr>
      </w:pPr>
    </w:p>
    <w:p>
      <w:pPr>
        <w:ind w:right="60" w:firstLine="489"/>
        <w:spacing w:after="0" w:line="248" w:lineRule="auto"/>
        <w:rPr>
          <w:sz w:val="20"/>
          <w:szCs w:val="20"/>
          <w:color w:val="auto"/>
        </w:rPr>
      </w:pPr>
      <w:r>
        <w:rPr>
          <w:rFonts w:ascii="Times New Roman" w:cs="Times New Roman" w:eastAsia="Times New Roman" w:hAnsi="Times New Roman"/>
          <w:sz w:val="20"/>
          <w:szCs w:val="20"/>
          <w:color w:val="auto"/>
        </w:rPr>
        <w:t>The Company values its inventories at the lower of cost or estimated net realizable value. Costs, which include amounts related to direct labor, materials and manufacturing overhead, are determined using standard costs, which approximate average cost. 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revenue.</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prior to receipt of marketing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 Inventory produced that will be used in promotional marketing campaigns is expensed to selling and marketing expense when it is selected for use in a marketing program.</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3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Level 1—Quoted prices in active markets for identical assets or liabilities.</w:t>
      </w:r>
    </w:p>
    <w:p>
      <w:pPr>
        <w:spacing w:after="0" w:line="239" w:lineRule="exact"/>
        <w:rPr>
          <w:sz w:val="20"/>
          <w:szCs w:val="20"/>
          <w:color w:val="auto"/>
        </w:rPr>
      </w:pPr>
    </w:p>
    <w:p>
      <w:pPr>
        <w:jc w:val="both"/>
        <w:ind w:right="40" w:firstLine="489"/>
        <w:spacing w:after="0" w:line="260" w:lineRule="auto"/>
        <w:rPr>
          <w:sz w:val="20"/>
          <w:szCs w:val="20"/>
          <w:color w:val="auto"/>
        </w:rPr>
      </w:pPr>
      <w:r>
        <w:rPr>
          <w:rFonts w:ascii="Times New Roman" w:cs="Times New Roman" w:eastAsia="Times New Roman" w:hAnsi="Times New Roman"/>
          <w:sz w:val="20"/>
          <w:szCs w:val="20"/>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sz w:val="20"/>
          <w:szCs w:val="20"/>
          <w:color w:val="auto"/>
        </w:rPr>
      </w:pPr>
    </w:p>
    <w:p>
      <w:pPr>
        <w:ind w:right="120" w:firstLine="489"/>
        <w:spacing w:after="0" w:line="260" w:lineRule="auto"/>
        <w:rPr>
          <w:sz w:val="20"/>
          <w:szCs w:val="20"/>
          <w:color w:val="auto"/>
        </w:rPr>
      </w:pPr>
      <w:r>
        <w:rPr>
          <w:rFonts w:ascii="Times New Roman" w:cs="Times New Roman" w:eastAsia="Times New Roman" w:hAnsi="Times New Roman"/>
          <w:sz w:val="20"/>
          <w:szCs w:val="20"/>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9700"/>
          </w:cols>
          <w:pgMar w:left="1080" w:top="1064" w:right="1100" w:bottom="0" w:gutter="0" w:footer="0" w:header="0"/>
          <w:type w:val="continuous"/>
        </w:sectPr>
      </w:pPr>
    </w:p>
    <w:bookmarkStart w:id="156" w:name="page157"/>
    <w:bookmarkEnd w:id="156"/>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w:t>
      </w:r>
    </w:p>
    <w:p>
      <w:pPr>
        <w:spacing w:after="0" w:line="238" w:lineRule="exact"/>
        <w:rPr>
          <w:sz w:val="20"/>
          <w:szCs w:val="20"/>
          <w:color w:val="auto"/>
        </w:rPr>
      </w:pPr>
    </w:p>
    <w:p>
      <w:pPr>
        <w:ind w:right="60" w:firstLine="490"/>
        <w:spacing w:after="0" w:line="260" w:lineRule="auto"/>
        <w:rPr>
          <w:sz w:val="20"/>
          <w:szCs w:val="20"/>
          <w:color w:val="auto"/>
        </w:rPr>
      </w:pPr>
      <w:r>
        <w:rPr>
          <w:rFonts w:ascii="Times New Roman" w:cs="Times New Roman" w:eastAsia="Times New Roman" w:hAnsi="Times New Roman"/>
          <w:sz w:val="20"/>
          <w:szCs w:val="20"/>
          <w:color w:val="auto"/>
        </w:rPr>
        <w:t>The Company recognizes all derivative instruments as either assets or liabilities at fair value through profit or loss on the Company's consolidated balance sheet. Changes in the estimated fair value of derivative instruments are recognized in other income (expense), net in the consolidated statements of operations and comprehensive loss.</w:t>
      </w:r>
    </w:p>
    <w:p>
      <w:pPr>
        <w:spacing w:after="0" w:line="183"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If the Company determines that a financial or non-financial contract, a ‘host contract’, includes implicit or explicit terms that affect the cash flows of the contract in a manner similar to a stand-alone derivative instrument, an ‘embedded derivative’, the Company analyzes whether to account for the embedded derivative separately. The Company accounts for an embedded derivative not separately from the host contract if it is clearly and closely related to the host contract or if the entire contract is measured at fair value through profit or loss. In other cases, the Company accounts for an embedded derivative separately.</w:t>
      </w:r>
    </w:p>
    <w:p>
      <w:pPr>
        <w:spacing w:after="0" w:line="19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The Company measures the value of embedded derivatives that are accounted for separately at their respective fair values and recognizes changes in the respective estimated fair values in other income (expense), net in the consolidated statements of operations and comprehensive loss during the period of change. Embedded derivatives that are accounted for separately are recognized as derivative liabilities in the Company’s consolidated balance sheet.</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38" w:lineRule="exact"/>
        <w:rPr>
          <w:sz w:val="20"/>
          <w:szCs w:val="20"/>
          <w:color w:val="auto"/>
        </w:rPr>
      </w:pPr>
    </w:p>
    <w:p>
      <w:pPr>
        <w:ind w:right="20" w:firstLine="489"/>
        <w:spacing w:after="0" w:line="266" w:lineRule="auto"/>
        <w:rPr>
          <w:sz w:val="20"/>
          <w:szCs w:val="20"/>
          <w:color w:val="auto"/>
        </w:rPr>
      </w:pPr>
      <w:r>
        <w:rPr>
          <w:rFonts w:ascii="Times New Roman" w:cs="Times New Roman" w:eastAsia="Times New Roman" w:hAnsi="Times New Roman"/>
          <w:sz w:val="19"/>
          <w:szCs w:val="19"/>
          <w:color w:val="auto"/>
        </w:rPr>
        <w:t>Property and equipment are stated at cost less accumulated depreciation. Depreciation expense is recognized using the straight-line method over a three- to five-year estimated useful life.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8" w:lineRule="exact"/>
        <w:rPr>
          <w:sz w:val="20"/>
          <w:szCs w:val="20"/>
          <w:color w:val="auto"/>
        </w:rPr>
      </w:pPr>
    </w:p>
    <w:p>
      <w:pPr>
        <w:ind w:firstLine="489"/>
        <w:spacing w:after="0" w:line="243" w:lineRule="auto"/>
        <w:rPr>
          <w:sz w:val="20"/>
          <w:szCs w:val="20"/>
          <w:color w:val="auto"/>
        </w:rPr>
      </w:pPr>
      <w:r>
        <w:rPr>
          <w:rFonts w:ascii="Times New Roman" w:cs="Times New Roman" w:eastAsia="Times New Roman" w:hAnsi="Times New Roman"/>
          <w:sz w:val="20"/>
          <w:szCs w:val="20"/>
          <w:color w:val="auto"/>
        </w:rPr>
        <w:t>The Company determines whether an arrangement is or contains a lease at inception. Operating leases are recognized on the consolidated balance sheets as operating lease assets, current portion of lease liabilities and long-term lease liabilities. Operating lease assets represent the Company’s right to use an underlying asset for the lease term and lease liabilities represent the Company’s obligation to make lease payments arising from the lease. Operating lease liabilities and their corresponding operating lease assets are recorded based on the present value of lease payments over the expected remaining lease term. The operating lease assets also include any lease payments made and adjustments for prepayments and lease incentives. The interest rate implicit in lease contracts is typically not readily determinable. As a result, the Company utilized its incremental borrowing rate, which is the rate incurred to borrow on a collateralized basis over a similar term an amount equal to the lease payments in a similar economic environment. Lease terms may include options to extend or terminate the lease when it is reasonably certain that the Company will exercise that option. The Company reassesses the lease term and remeasures the lease liability if triggering events occur. Lease expense for lease payments is recognized on a straight-line basis over the lease term.</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3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Long-lived assets consist of property and equipment and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The Company has had no impairment triggers of long-lived assets.</w:t>
      </w:r>
    </w:p>
    <w:p>
      <w:pPr>
        <w:sectPr>
          <w:pgSz w:w="11880" w:h="15480" w:orient="portrait"/>
          <w:cols w:equalWidth="0" w:num="1">
            <w:col w:w="9680"/>
          </w:cols>
          <w:pgMar w:left="1080" w:top="106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9680"/>
          </w:cols>
          <w:pgMar w:left="1080" w:top="1067" w:right="1120" w:bottom="0" w:gutter="0" w:footer="0" w:header="0"/>
          <w:type w:val="continuous"/>
        </w:sectPr>
      </w:pPr>
    </w:p>
    <w:bookmarkStart w:id="157" w:name="page158"/>
    <w:bookmarkEnd w:id="157"/>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23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 Company accounts for issued warrants, including pre-funded warrants, as either liability or equity. Warrants are considered liabilities if they are mandatorily redeemable and they require settlement in cash or other assets, or a variable number of shares. Contracts that may require settlement for cash are liabilities, regardless of the probability of the occurrence of the triggering event. If warrants do not otherwise require liability classification, the Company assesses whether the warrants are indexed to its common stock. Liability-classified warrants are measured at fair value on the issuance date and at the end of each reporting period. Any change in the fair value of the warrants after the issuance date is recorded in the consolidated statements of operations as a gain or loss. Equity-classified warrants are accounted for at fair value on the issuance date with no changes in fair value recognized after the issuance date.</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238" w:lineRule="exact"/>
        <w:rPr>
          <w:sz w:val="20"/>
          <w:szCs w:val="20"/>
          <w:color w:val="auto"/>
        </w:rPr>
      </w:pPr>
    </w:p>
    <w:p>
      <w:pPr>
        <w:ind w:right="200" w:firstLine="489"/>
        <w:spacing w:after="0" w:line="250" w:lineRule="auto"/>
        <w:rPr>
          <w:sz w:val="20"/>
          <w:szCs w:val="20"/>
          <w:color w:val="auto"/>
        </w:rPr>
      </w:pPr>
      <w:r>
        <w:rPr>
          <w:rFonts w:ascii="Times New Roman" w:cs="Times New Roman" w:eastAsia="Times New Roman" w:hAnsi="Times New Roman"/>
          <w:sz w:val="20"/>
          <w:szCs w:val="20"/>
          <w:color w:val="auto"/>
        </w:rPr>
        <w:t>Research and development costs are expensed as incurred. Included in research and development expenses are salaries, stock-based compensation and benefits of employees and other operational costs related to the Company’s research and development activities, including external costs of outside vendors engaged to conduct preclinical studies and clinical trials, manufacturing costs of the Company’s products prior to regulatory approval, costs related to collaboration agreements and facility-related expenses.</w:t>
      </w:r>
    </w:p>
    <w:p>
      <w:pPr>
        <w:spacing w:after="0" w:line="192" w:lineRule="exact"/>
        <w:rPr>
          <w:sz w:val="20"/>
          <w:szCs w:val="20"/>
          <w:color w:val="auto"/>
        </w:rPr>
      </w:pPr>
    </w:p>
    <w:p>
      <w:pPr>
        <w:ind w:right="160" w:firstLine="490"/>
        <w:spacing w:after="0" w:line="250" w:lineRule="auto"/>
        <w:rPr>
          <w:sz w:val="20"/>
          <w:szCs w:val="20"/>
          <w:color w:val="auto"/>
        </w:rPr>
      </w:pPr>
      <w:r>
        <w:rPr>
          <w:rFonts w:ascii="Times New Roman" w:cs="Times New Roman" w:eastAsia="Times New Roman" w:hAnsi="Times New Roman"/>
          <w:sz w:val="20"/>
          <w:szCs w:val="20"/>
          <w:color w:val="auto"/>
        </w:rPr>
        <w:t>The Company records accruals for estimated ongoing research and development costs. When evaluating the adequacy of the accrued liabilities, the Company analyzes progress of the studies, including the phase or completion of events, invoices received, estimates provided by vendors, and contracted costs.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Advertising costs are expensed as incurred.</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Accounting for Stock-Based Compensation</w:t>
      </w:r>
    </w:p>
    <w:p>
      <w:pPr>
        <w:spacing w:after="0" w:line="23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Company measures all stock options and other stock- based awards granted to employees, directors, and nonemployees at the fair value on the date of the grant. The fair value of the awards is recognized as expense, net of estimated forfeitures, over the requisite service period, which is generally the vesting period of the respective award. For awards with both service and market conditions, the Company generally determines the requisite service period as the longer of the service period and the period derived from the underlying valuation. The straight-line method of expense recognition is applied to all awards with either service-only conditions or both service and market conditions. For awards that include both service and performance conditions, the Company starts recognizing the fair value of the awards as expense when achievement of the underlying performance conditions is probable, based on the portion of the requisite service period completed.</w:t>
      </w:r>
    </w:p>
    <w:p>
      <w:pPr>
        <w:spacing w:after="0" w:line="197"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The Company recognizes compensation expense for only the portion of awards that is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93" w:lineRule="exact"/>
        <w:rPr>
          <w:sz w:val="20"/>
          <w:szCs w:val="20"/>
          <w:color w:val="auto"/>
        </w:rPr>
      </w:pPr>
    </w:p>
    <w:p>
      <w:pPr>
        <w:ind w:right="160" w:firstLine="490"/>
        <w:spacing w:after="0" w:line="250" w:lineRule="auto"/>
        <w:rPr>
          <w:sz w:val="20"/>
          <w:szCs w:val="20"/>
          <w:color w:val="auto"/>
        </w:rPr>
      </w:pPr>
      <w:r>
        <w:rPr>
          <w:rFonts w:ascii="Times New Roman" w:cs="Times New Roman" w:eastAsia="Times New Roman" w:hAnsi="Times New Roman"/>
          <w:sz w:val="20"/>
          <w:szCs w:val="20"/>
          <w:color w:val="auto"/>
        </w:rPr>
        <w:t>Compensation expense related to shares purchased through the Company’s employee stock purchase plan, which is considered compensatory, is based on the estimated fair value of the shares on the offering date, including consideration of the discount and the look-back period. The Company estimates the fair value of the shares using a Black -Scholes option pricing model. Compensation expense is recognized over the six-month withholding period prior to the purchase date.</w:t>
      </w:r>
    </w:p>
    <w:p>
      <w:pPr>
        <w:spacing w:after="0" w:line="192"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ectPr>
          <w:pgSz w:w="11880" w:h="15480" w:orient="portrait"/>
          <w:cols w:equalWidth="0" w:num="1">
            <w:col w:w="9700"/>
          </w:cols>
          <w:pgMar w:left="1080" w:top="106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9700"/>
          </w:cols>
          <w:pgMar w:left="1080" w:top="1067" w:right="1100" w:bottom="0" w:gutter="0" w:footer="0" w:header="0"/>
          <w:type w:val="continuous"/>
        </w:sectPr>
      </w:pPr>
    </w:p>
    <w:bookmarkStart w:id="158" w:name="page159"/>
    <w:bookmarkEnd w:id="158"/>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w:t>
      </w:r>
    </w:p>
    <w:p>
      <w:pPr>
        <w:spacing w:after="0" w:line="197" w:lineRule="exact"/>
        <w:rPr>
          <w:sz w:val="20"/>
          <w:szCs w:val="20"/>
          <w:color w:val="auto"/>
        </w:rPr>
      </w:pPr>
    </w:p>
    <w:p>
      <w:pPr>
        <w:ind w:right="100" w:firstLine="489"/>
        <w:spacing w:after="0" w:line="245" w:lineRule="auto"/>
        <w:rPr>
          <w:sz w:val="20"/>
          <w:szCs w:val="20"/>
          <w:color w:val="auto"/>
        </w:rPr>
      </w:pPr>
      <w:r>
        <w:rPr>
          <w:rFonts w:ascii="Times New Roman" w:cs="Times New Roman" w:eastAsia="Times New Roman" w:hAnsi="Times New Roman"/>
          <w:sz w:val="20"/>
          <w:szCs w:val="20"/>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Interest and penalties related to income taxes are recorded as part of the income tax provision.</w:t>
      </w:r>
    </w:p>
    <w:p>
      <w:pPr>
        <w:spacing w:after="0" w:line="239" w:lineRule="exact"/>
        <w:rPr>
          <w:sz w:val="20"/>
          <w:szCs w:val="20"/>
          <w:color w:val="auto"/>
        </w:rPr>
      </w:pPr>
    </w:p>
    <w:p>
      <w:pPr>
        <w:ind w:right="160" w:firstLine="489"/>
        <w:spacing w:after="0" w:line="253" w:lineRule="auto"/>
        <w:rPr>
          <w:sz w:val="20"/>
          <w:szCs w:val="20"/>
          <w:color w:val="auto"/>
        </w:rPr>
      </w:pPr>
      <w:r>
        <w:rPr>
          <w:rFonts w:ascii="Times New Roman" w:cs="Times New Roman" w:eastAsia="Times New Roman" w:hAnsi="Times New Roman"/>
          <w:sz w:val="20"/>
          <w:szCs w:val="20"/>
          <w:color w:val="auto"/>
        </w:rPr>
        <w:t xml:space="preserve">The Company has adopted Accounting Standards Update (“ASU”) No. 2023-09 </w:t>
      </w:r>
      <w:r>
        <w:rPr>
          <w:rFonts w:ascii="Times New Roman" w:cs="Times New Roman" w:eastAsia="Times New Roman" w:hAnsi="Times New Roman"/>
          <w:sz w:val="20"/>
          <w:szCs w:val="20"/>
          <w:i w:val="1"/>
          <w:iCs w:val="1"/>
          <w:color w:val="auto"/>
        </w:rPr>
        <w:t>Income Taxes - 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Income Tax Disclosures </w:t>
      </w:r>
      <w:r>
        <w:rPr>
          <w:rFonts w:ascii="Times New Roman" w:cs="Times New Roman" w:eastAsia="Times New Roman" w:hAnsi="Times New Roman"/>
          <w:sz w:val="20"/>
          <w:szCs w:val="20"/>
          <w:color w:val="auto"/>
        </w:rPr>
        <w:t>(“ASU 2023- 09”) in these Consolidated Financial Statements prospectively by providing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disclosures required by ASU 2023-09 for the year ended December 31, 2025 and continuing to provide the pre-ASU 2023-09 disclosures for the years ended December 31, 2024 and 2023, respectively.</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Segment Data</w:t>
      </w:r>
    </w:p>
    <w:p>
      <w:pPr>
        <w:spacing w:after="0" w:line="238" w:lineRule="exact"/>
        <w:rPr>
          <w:sz w:val="20"/>
          <w:szCs w:val="20"/>
          <w:color w:val="auto"/>
        </w:rPr>
      </w:pPr>
    </w:p>
    <w:p>
      <w:pPr>
        <w:ind w:right="220" w:firstLine="489"/>
        <w:spacing w:after="0" w:line="280" w:lineRule="auto"/>
        <w:rPr>
          <w:sz w:val="20"/>
          <w:szCs w:val="20"/>
          <w:color w:val="auto"/>
        </w:rPr>
      </w:pPr>
      <w:r>
        <w:rPr>
          <w:rFonts w:ascii="Times New Roman" w:cs="Times New Roman" w:eastAsia="Times New Roman" w:hAnsi="Times New Roman"/>
          <w:sz w:val="20"/>
          <w:szCs w:val="20"/>
          <w:color w:val="auto"/>
        </w:rPr>
        <w:t>The Company manages its operations as a single segment for the purposes of assessing performance and making operating decisions.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3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Comprehensive loss includes net loss as well as other changes in stockholders’ equity that result from transactions and economic events other than those with stockholders. For the years ended December 31, 2025, 2024 and 2023, there were no items that gave rise to other comprehensive loss and therefore, there was no difference between net loss and comprehensive loss.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38" w:lineRule="exact"/>
        <w:rPr>
          <w:sz w:val="20"/>
          <w:szCs w:val="20"/>
          <w:color w:val="auto"/>
        </w:rPr>
      </w:pPr>
    </w:p>
    <w:p>
      <w:pPr>
        <w:ind w:firstLine="489"/>
        <w:spacing w:after="0" w:line="244"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computed by dividing the net loss attributable to common stockholders by the weighted 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outstanding stock options, and outstanding restricted stock units, except where the result would be anti-dilutive.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the conversion of convertible debt securities, the exercise of outstanding stock options, and the vesting of outstanding restricted stock units. In the diluted net loss per share calculation, net loss would also be adjusted for the elimination of interest expense on convertible debt securities and the mark-to-market gain or loss on bifurcated conversion options, if the impact was not anti-dilutive.</w:t>
      </w:r>
    </w:p>
    <w:p>
      <w:pPr>
        <w:sectPr>
          <w:pgSz w:w="11880" w:h="15480" w:orient="portrait"/>
          <w:cols w:equalWidth="0" w:num="1">
            <w:col w:w="9720"/>
          </w:cols>
          <w:pgMar w:left="1080" w:top="106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9720"/>
          </w:cols>
          <w:pgMar w:left="1080" w:top="1067" w:right="1080" w:bottom="0" w:gutter="0" w:footer="0" w:header="0"/>
          <w:type w:val="continuous"/>
        </w:sectPr>
      </w:pPr>
    </w:p>
    <w:bookmarkStart w:id="159" w:name="page160"/>
    <w:bookmarkEnd w:id="159"/>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238" w:lineRule="exact"/>
        <w:rPr>
          <w:sz w:val="20"/>
          <w:szCs w:val="20"/>
          <w:color w:val="auto"/>
        </w:rPr>
      </w:pPr>
    </w:p>
    <w:p>
      <w:pPr>
        <w:ind w:right="480" w:firstLine="490"/>
        <w:spacing w:after="0" w:line="280"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 (“FASB”) and adopted by the Company as of the specified effective date.</w:t>
      </w:r>
    </w:p>
    <w:p>
      <w:pPr>
        <w:spacing w:after="0" w:line="163" w:lineRule="exact"/>
        <w:rPr>
          <w:sz w:val="20"/>
          <w:szCs w:val="20"/>
          <w:color w:val="auto"/>
        </w:rPr>
      </w:pPr>
    </w:p>
    <w:p>
      <w:pPr>
        <w:ind w:right="140" w:firstLine="490"/>
        <w:spacing w:after="0" w:line="250"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The new standard requires disclosures about specific types of expenses included in the expense captions presented on the face of the income statement as well as disclosures about selling expenses and is effective for annual reporting periods beginning after December 15, 2026 and interim reporting periods beginning after December 15, 2027. The Company does not expect the adoption of the amendments to have a significant impact on its consolidated financial statements.</w:t>
      </w:r>
    </w:p>
    <w:p>
      <w:pPr>
        <w:spacing w:after="0" w:line="193" w:lineRule="exact"/>
        <w:rPr>
          <w:sz w:val="20"/>
          <w:szCs w:val="20"/>
          <w:color w:val="auto"/>
        </w:rPr>
      </w:pPr>
    </w:p>
    <w:p>
      <w:pPr>
        <w:ind w:right="320" w:firstLine="490"/>
        <w:spacing w:after="0" w:line="248" w:lineRule="auto"/>
        <w:rPr>
          <w:sz w:val="20"/>
          <w:szCs w:val="20"/>
          <w:color w:val="auto"/>
        </w:rPr>
      </w:pPr>
      <w:r>
        <w:rPr>
          <w:rFonts w:ascii="Times New Roman" w:cs="Times New Roman" w:eastAsia="Times New Roman" w:hAnsi="Times New Roman"/>
          <w:sz w:val="20"/>
          <w:szCs w:val="20"/>
          <w:color w:val="auto"/>
        </w:rPr>
        <w:t xml:space="preserve">In July 2025, the FASB issued ASU No. 2025-05 </w:t>
      </w:r>
      <w:r>
        <w:rPr>
          <w:rFonts w:ascii="Times New Roman" w:cs="Times New Roman" w:eastAsia="Times New Roman" w:hAnsi="Times New Roman"/>
          <w:sz w:val="20"/>
          <w:szCs w:val="20"/>
          <w:i w:val="1"/>
          <w:iCs w:val="1"/>
          <w:color w:val="auto"/>
        </w:rPr>
        <w:t>Financial Instruments – Credit Losses</w:t>
      </w:r>
      <w:r>
        <w:rPr>
          <w:rFonts w:ascii="Times New Roman" w:cs="Times New Roman" w:eastAsia="Times New Roman" w:hAnsi="Times New Roman"/>
          <w:sz w:val="20"/>
          <w:szCs w:val="20"/>
          <w:color w:val="auto"/>
        </w:rPr>
        <w:t>. For public business entities, the amendments provide for the election of a practical expedient to be used in developing reasonable and supportable forecasts as part of estimating future expected credit losses for current accounts receivable and current contract assets. The amendments are effective for annual reporting periods beginning after December 15, 2025, including interim periods within those fiscal years. The Company does not expect the adoption of the amendments to have a significant impact on its consolidated financial statements.</w:t>
      </w:r>
    </w:p>
    <w:p>
      <w:pPr>
        <w:spacing w:after="0" w:line="194" w:lineRule="exact"/>
        <w:rPr>
          <w:sz w:val="20"/>
          <w:szCs w:val="20"/>
          <w:color w:val="auto"/>
        </w:rPr>
      </w:pPr>
    </w:p>
    <w:p>
      <w:pPr>
        <w:ind w:right="480" w:firstLine="490"/>
        <w:spacing w:after="0" w:line="250" w:lineRule="auto"/>
        <w:rPr>
          <w:sz w:val="20"/>
          <w:szCs w:val="20"/>
          <w:color w:val="auto"/>
        </w:rPr>
      </w:pPr>
      <w:r>
        <w:rPr>
          <w:rFonts w:ascii="Times New Roman" w:cs="Times New Roman" w:eastAsia="Times New Roman" w:hAnsi="Times New Roman"/>
          <w:sz w:val="20"/>
          <w:szCs w:val="20"/>
          <w:color w:val="auto"/>
        </w:rPr>
        <w:t xml:space="preserve">In September 2025, the FASB issued ASU No. 2025- 06 </w:t>
      </w:r>
      <w:r>
        <w:rPr>
          <w:rFonts w:ascii="Times New Roman" w:cs="Times New Roman" w:eastAsia="Times New Roman" w:hAnsi="Times New Roman"/>
          <w:sz w:val="20"/>
          <w:szCs w:val="20"/>
          <w:i w:val="1"/>
          <w:iCs w:val="1"/>
          <w:color w:val="auto"/>
        </w:rPr>
        <w:t>Intangibles – Goodwill and Other – Internal-Use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Software</w:t>
      </w:r>
      <w:r>
        <w:rPr>
          <w:rFonts w:ascii="Times New Roman" w:cs="Times New Roman" w:eastAsia="Times New Roman" w:hAnsi="Times New Roman"/>
          <w:sz w:val="20"/>
          <w:szCs w:val="20"/>
          <w:color w:val="auto"/>
        </w:rPr>
        <w:t>. The amendments change (i) the criteria regarding the timing of the capitalization of costs for internal-use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software and (ii) the accounting for website development costs. The amendments are effective for annual periods beginning after December 15, 2027. The Company is currently evaluating the impact of the amendments on its consolidated financial statements.</w:t>
      </w:r>
    </w:p>
    <w:p>
      <w:pPr>
        <w:spacing w:after="0" w:line="192"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auto"/>
        </w:rPr>
        <w:t xml:space="preserve">In September 2025, the FASB issued ASU No. 2025-07 </w:t>
      </w:r>
      <w:r>
        <w:rPr>
          <w:rFonts w:ascii="Times New Roman" w:cs="Times New Roman" w:eastAsia="Times New Roman" w:hAnsi="Times New Roman"/>
          <w:sz w:val="20"/>
          <w:szCs w:val="20"/>
          <w:i w:val="1"/>
          <w:iCs w:val="1"/>
          <w:color w:val="auto"/>
        </w:rPr>
        <w:t>Derivatives Scope Refinements and Scope Clarification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 Share-Based Noncash Consideration from a Customer in a Revenue Contract </w:t>
      </w:r>
      <w:r>
        <w:rPr>
          <w:rFonts w:ascii="Times New Roman" w:cs="Times New Roman" w:eastAsia="Times New Roman" w:hAnsi="Times New Roman"/>
          <w:sz w:val="20"/>
          <w:szCs w:val="20"/>
          <w:color w:val="auto"/>
        </w:rPr>
        <w:t>(“ASU 2025-07”). The amendments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 for a new scope exception to the derivatives 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amendments are effective for annual reporting periods beginning after December 15, 2026, including interim periods within those fiscal years. Early adoption is permitted. The Company does not expect the adoption of the amendments to have a significant impact on its consolidated financial statements.</w:t>
      </w:r>
    </w:p>
    <w:p>
      <w:pPr>
        <w:spacing w:after="0" w:line="202" w:lineRule="exact"/>
        <w:rPr>
          <w:sz w:val="20"/>
          <w:szCs w:val="20"/>
          <w:color w:val="auto"/>
        </w:rPr>
      </w:pPr>
    </w:p>
    <w:p>
      <w:pPr>
        <w:ind w:right="340" w:firstLine="490"/>
        <w:spacing w:after="0" w:line="280" w:lineRule="auto"/>
        <w:rPr>
          <w:sz w:val="20"/>
          <w:szCs w:val="20"/>
          <w:color w:val="auto"/>
        </w:rPr>
      </w:pPr>
      <w:r>
        <w:rPr>
          <w:rFonts w:ascii="Times New Roman" w:cs="Times New Roman" w:eastAsia="Times New Roman" w:hAnsi="Times New Roman"/>
          <w:sz w:val="20"/>
          <w:szCs w:val="20"/>
          <w:color w:val="auto"/>
        </w:rPr>
        <w:t>The Company believes that other recently issued accounting pronouncements that are not yet effective will not have a material impact on our consolidated financial statements and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Licensing Agreements and Deferred 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Incept License Agreement (in-licensing)</w:t>
      </w:r>
    </w:p>
    <w:p>
      <w:pPr>
        <w:spacing w:after="0" w:line="23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On September 13, 2018, the Company entered into a second amended and restated license agreement with Incept, LLC (“Incept”) to use and develop certain intellectual property (the “Incept License”). Under the Incept License, as amended and restated, the Company was granted a worldwide, perpetual, exclusive license to use specific Incept technology to develop and commercialize products that are delivered to or around the human eye for diagnostic, therapeutic or prophylactic purposes relating to ophthalmic diseases or conditions. The Company is obligated to pay low single-digit royalties on net sales of commercial products developed using the licensed technology, commencing with the date of the first commercial sale of such products and until the expiration of the last to expire of the patents covered by the license. Any of the Company’s sublicensees also will be obligated to pay Incept a royalty equal to a low single-digit percentage of net sales made by it and will be bound by the terms of the agreement to the same extent as the Company. The Company is obligated to reimburse Incept for its share of the reasonable fees and costs incurred by Incept in connection with the prosecution of the patent applications licensed to the Company under the Incept License.</w:t>
      </w:r>
    </w:p>
    <w:p>
      <w:pPr>
        <w:spacing w:after="0" w:line="198" w:lineRule="exact"/>
        <w:rPr>
          <w:sz w:val="20"/>
          <w:szCs w:val="20"/>
          <w:color w:val="auto"/>
        </w:rPr>
      </w:pPr>
    </w:p>
    <w:p>
      <w:pPr>
        <w:ind w:right="220" w:firstLine="490"/>
        <w:spacing w:after="0" w:line="280" w:lineRule="auto"/>
        <w:rPr>
          <w:sz w:val="20"/>
          <w:szCs w:val="20"/>
          <w:color w:val="auto"/>
        </w:rPr>
      </w:pPr>
      <w:r>
        <w:rPr>
          <w:rFonts w:ascii="Times New Roman" w:cs="Times New Roman" w:eastAsia="Times New Roman" w:hAnsi="Times New Roman"/>
          <w:sz w:val="20"/>
          <w:szCs w:val="20"/>
          <w:color w:val="auto"/>
        </w:rPr>
        <w:t>Royalties paid under this agreement related to product sales were $1,668, $1,834 and $1,713 for the years ended December 31, 2025, 2024 and 2023, respectively. Royalties have been charged to cost of product revenue.</w:t>
      </w:r>
    </w:p>
    <w:p>
      <w:pPr>
        <w:sectPr>
          <w:pgSz w:w="11880" w:h="15480" w:orient="portrait"/>
          <w:cols w:equalWidth="0" w:num="1">
            <w:col w:w="9700"/>
          </w:cols>
          <w:pgMar w:left="1080" w:top="106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9700"/>
          </w:cols>
          <w:pgMar w:left="1080" w:top="1067" w:right="1100"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i w:val="1"/>
          <w:iCs w:val="1"/>
          <w:color w:val="auto"/>
        </w:rPr>
        <w:t>AffaMed License Agreement (out-licensing)</w:t>
      </w:r>
    </w:p>
    <w:p>
      <w:pPr>
        <w:spacing w:after="0" w:line="238" w:lineRule="exact"/>
        <w:rPr>
          <w:sz w:val="20"/>
          <w:szCs w:val="20"/>
          <w:color w:val="auto"/>
        </w:rPr>
      </w:pPr>
    </w:p>
    <w:p>
      <w:pPr>
        <w:ind w:right="120" w:firstLine="489"/>
        <w:spacing w:after="0" w:line="245" w:lineRule="auto"/>
        <w:rPr>
          <w:sz w:val="20"/>
          <w:szCs w:val="20"/>
          <w:color w:val="auto"/>
        </w:rPr>
      </w:pPr>
      <w:r>
        <w:rPr>
          <w:rFonts w:ascii="Times New Roman" w:cs="Times New Roman" w:eastAsia="Times New Roman" w:hAnsi="Times New Roman"/>
          <w:sz w:val="20"/>
          <w:szCs w:val="20"/>
          <w:color w:val="auto"/>
        </w:rPr>
        <w:t>On October 29, 2020, the Company entered into a license agreement (“License Agreement”) with AffaMed Therapeutic Limited (“AffaMed”) for the development and commercialization of the Company’s DEXTENZA product regarding ocular inflammation and pain following cataract surgery and allergic conjunctivitis (collectively, the “DEXTENZA Field”) and for the Company’s OTX-TIC product candidate (collectively with DEXTENZA, the “AffaMed Licensed Products”) regarding OAG or OHT (collectively, the “TIC Field” and, with the DEXTENZA Field, each a “Field”), in each case in mainland China, Taiwan, Hong Kong, Macau, South Korea, and the countries of the Association of Southeast Asian Nations (collectively, the “Territories”). The Company retains development and commercialization rights for the AffaMed Licensed Products in the rest of the world.</w:t>
      </w:r>
    </w:p>
    <w:p>
      <w:pPr>
        <w:spacing w:after="0" w:line="202" w:lineRule="exact"/>
        <w:rPr>
          <w:sz w:val="20"/>
          <w:szCs w:val="20"/>
          <w:color w:val="auto"/>
        </w:rPr>
      </w:pPr>
    </w:p>
    <w:p>
      <w:pPr>
        <w:ind w:right="100" w:firstLine="489"/>
        <w:spacing w:after="0" w:line="245" w:lineRule="auto"/>
        <w:rPr>
          <w:sz w:val="20"/>
          <w:szCs w:val="20"/>
          <w:color w:val="auto"/>
        </w:rPr>
      </w:pPr>
      <w:r>
        <w:rPr>
          <w:rFonts w:ascii="Times New Roman" w:cs="Times New Roman" w:eastAsia="Times New Roman" w:hAnsi="Times New Roman"/>
          <w:sz w:val="20"/>
          <w:szCs w:val="20"/>
          <w:color w:val="auto"/>
        </w:rPr>
        <w:t>Under the License Agreement, the Company received a non-refundable upfront payment of $12,000 in December 2020, a $1,000 milestone in the fourth quarter of 2021, a $2,000 clinical support payment in the second quarter of 2022, and a $1,000 milestone payment in the second quarter of 2023. The Company is also eligible to receive up to an additional $87,000 in aggregate upon the achievement of certain regulatory, development and commercial milestones. The Company is also entitled to receive tiered, escalating royalties on the net sales of the AffaMed Licensed Products ranging from a low-teen to low-twenties percentage. Royalties under the License Agreement are payable on an AffaMed Licensed Product-by-AffaMed Licensed Product and jurisdiction-by-jurisdiction basis and are subject to potential reductions in specified circumstances, subject to a specified floor.</w:t>
      </w:r>
    </w:p>
    <w:p>
      <w:pPr>
        <w:spacing w:after="0" w:line="203"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Under the License Agreement, the Company is generally responsible for expenses related to the development of the AffaMed Licensed Products in the applicable Fields in the Territories, provided that AffaMed (i) reimburse the Company a low-teen percentage of expenses incurred in connection with certain clinical trials conducted by the Company and designed to support marketing approval of the AffaMed Licensed Product by the FDA or the European Medicines Agency (“Global Studies”); (ii) is solely responsible for expenses incurred in connection with territory-specific clinical trials that it conducts in furtherance of the development plan agreed between the parties in the applicable Fields in the Territories (“Local Studies”); and (iii) reimburse the Company in full for expenses incurred in connection with obtaining and maintaining regulatory approvals of the AffaMed Licensed Products in the applicable Fields in the Territories. In the event AffaMed declines to participate in a Global Study or to conduct a Local Study in any jurisdiction in which the Company determines to conduct such a study, the Company is relieved of its obligation to provide AffaMed clinical data from such study, other than safety data, unless AffaMed subsequently reimburses the Company in the amounts described above plus a prespecified premium.</w:t>
      </w:r>
    </w:p>
    <w:p>
      <w:pPr>
        <w:spacing w:after="0" w:line="205"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The License Agreement expires upon the expiration of the last royalty term for the last AffaMed Licensed Product in any applicable Field in the Territories. Either party may, subject to specified cure periods, terminate the License Agreement in the event of the other party’s uncured breach. Either party may also terminate the License Agreement under specified circumstances relating to the other party’s insolvency. AffaMed has the right to terminate the License Agreement at any time after completion of a Phase 3 clinical trial for OTX-TIC for any or no reason upon providing the Company three months’ notice. During an established period following its change of control or its entry into a global licensing agreement that includes the Territories with a third party, the Company has the option to terminate the License Agreement, subject to a specified notice period and the repayment of any costs and expenses incurred by AffaMed in connection with the License Agreement, including upfront and milestone payments AffaMed has previously paid to the Company, at a prespecified premium.</w:t>
      </w:r>
    </w:p>
    <w:p>
      <w:pPr>
        <w:spacing w:after="0" w:line="203" w:lineRule="exact"/>
        <w:rPr>
          <w:sz w:val="20"/>
          <w:szCs w:val="20"/>
          <w:color w:val="auto"/>
        </w:rPr>
      </w:pPr>
    </w:p>
    <w:p>
      <w:pPr>
        <w:ind w:firstLine="490"/>
        <w:spacing w:after="0" w:line="280" w:lineRule="auto"/>
        <w:rPr>
          <w:sz w:val="20"/>
          <w:szCs w:val="20"/>
          <w:color w:val="auto"/>
        </w:rPr>
      </w:pPr>
      <w:r>
        <w:rPr>
          <w:rFonts w:ascii="Times New Roman" w:cs="Times New Roman" w:eastAsia="Times New Roman" w:hAnsi="Times New Roman"/>
          <w:sz w:val="20"/>
          <w:szCs w:val="20"/>
          <w:color w:val="auto"/>
        </w:rPr>
        <w:t>The Company concluded that AffaMed is a customer in this arrangement, and as such, the arrangement falls within the scope of the revenue recognition guidance in ASC 606.</w:t>
      </w:r>
    </w:p>
    <w:p>
      <w:pPr>
        <w:spacing w:after="0" w:line="163" w:lineRule="exact"/>
        <w:rPr>
          <w:sz w:val="20"/>
          <w:szCs w:val="20"/>
          <w:color w:val="auto"/>
        </w:rPr>
      </w:pPr>
    </w:p>
    <w:p>
      <w:pPr>
        <w:ind w:right="200" w:firstLine="490"/>
        <w:spacing w:after="0" w:line="280" w:lineRule="auto"/>
        <w:rPr>
          <w:sz w:val="20"/>
          <w:szCs w:val="20"/>
          <w:color w:val="auto"/>
        </w:rPr>
      </w:pPr>
      <w:r>
        <w:rPr>
          <w:rFonts w:ascii="Times New Roman" w:cs="Times New Roman" w:eastAsia="Times New Roman" w:hAnsi="Times New Roman"/>
          <w:sz w:val="20"/>
          <w:szCs w:val="20"/>
          <w:color w:val="auto"/>
        </w:rPr>
        <w:t>At the inception of the License Agreement, the Company identified the following performance obligations in the agreement:</w:t>
      </w:r>
    </w:p>
    <w:p>
      <w:pPr>
        <w:spacing w:after="0" w:line="177" w:lineRule="exact"/>
        <w:rPr>
          <w:sz w:val="20"/>
          <w:szCs w:val="20"/>
          <w:color w:val="auto"/>
        </w:rPr>
      </w:pPr>
    </w:p>
    <w:p>
      <w:pPr>
        <w:ind w:left="860" w:right="560" w:hanging="363"/>
        <w:spacing w:after="0" w:line="279" w:lineRule="auto"/>
        <w:tabs>
          <w:tab w:leader="none" w:pos="86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the license, regulatory filings and manufacturing of DEXTENZA (the “DEXTENZA Field performance obligation”);</w:t>
      </w:r>
    </w:p>
    <w:p>
      <w:pPr>
        <w:spacing w:after="0" w:line="179" w:lineRule="exact"/>
        <w:rPr>
          <w:rFonts w:ascii="Arial" w:cs="Arial" w:eastAsia="Arial" w:hAnsi="Arial"/>
          <w:sz w:val="20"/>
          <w:szCs w:val="20"/>
          <w:color w:val="auto"/>
        </w:rPr>
      </w:pPr>
    </w:p>
    <w:p>
      <w:pPr>
        <w:ind w:left="860" w:right="280" w:hanging="363"/>
        <w:spacing w:after="0" w:line="279" w:lineRule="auto"/>
        <w:tabs>
          <w:tab w:leader="none" w:pos="86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the license, regulatory filings and manufacturing for the Company’s OTX-TIC product candidate regarding OAG or OHT in the Territories (the “OTX-TIC Field performance obligation”);</w:t>
      </w:r>
    </w:p>
    <w:p>
      <w:pPr>
        <w:sectPr>
          <w:pgSz w:w="11880" w:h="15480" w:orient="portrait"/>
          <w:cols w:equalWidth="0" w:num="1">
            <w:col w:w="9720"/>
          </w:cols>
          <w:pgMar w:left="1080" w:top="106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9720"/>
          </w:cols>
          <w:pgMar w:left="1080" w:top="1067" w:right="1080" w:bottom="0" w:gutter="0" w:footer="0" w:header="0"/>
          <w:type w:val="continuous"/>
        </w:sectPr>
      </w:pPr>
    </w:p>
    <w:bookmarkStart w:id="161" w:name="page162"/>
    <w:bookmarkEnd w:id="161"/>
    <w:p>
      <w:pPr>
        <w:ind w:left="860" w:right="480" w:hanging="363"/>
        <w:spacing w:after="0" w:line="279" w:lineRule="auto"/>
        <w:tabs>
          <w:tab w:leader="none" w:pos="86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the conduct of a Phase 2 clinical trial of OTX-TIC (the “Phase 2 Clinical Trial of OTX-TIC performance obligation”); and</w:t>
      </w:r>
    </w:p>
    <w:p>
      <w:pPr>
        <w:spacing w:after="0" w:line="179" w:lineRule="exact"/>
        <w:rPr>
          <w:rFonts w:ascii="Arial" w:cs="Arial" w:eastAsia="Arial" w:hAnsi="Arial"/>
          <w:sz w:val="20"/>
          <w:szCs w:val="20"/>
          <w:color w:val="auto"/>
        </w:rPr>
      </w:pPr>
    </w:p>
    <w:p>
      <w:pPr>
        <w:ind w:left="860" w:right="100" w:hanging="363"/>
        <w:spacing w:after="0" w:line="279" w:lineRule="auto"/>
        <w:tabs>
          <w:tab w:leader="none" w:pos="86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obligations to participate on various joint research, development and project committees, which the Company has concluded is not a material performance obligation.</w:t>
      </w:r>
    </w:p>
    <w:p>
      <w:pPr>
        <w:spacing w:after="0" w:line="164" w:lineRule="exact"/>
        <w:rPr>
          <w:sz w:val="20"/>
          <w:szCs w:val="20"/>
          <w:color w:val="auto"/>
        </w:rPr>
      </w:pPr>
    </w:p>
    <w:p>
      <w:pPr>
        <w:ind w:right="480" w:firstLine="490"/>
        <w:spacing w:after="0" w:line="280" w:lineRule="auto"/>
        <w:rPr>
          <w:sz w:val="20"/>
          <w:szCs w:val="20"/>
          <w:color w:val="auto"/>
        </w:rPr>
      </w:pPr>
      <w:r>
        <w:rPr>
          <w:rFonts w:ascii="Times New Roman" w:cs="Times New Roman" w:eastAsia="Times New Roman" w:hAnsi="Times New Roman"/>
          <w:sz w:val="20"/>
          <w:szCs w:val="20"/>
          <w:color w:val="auto"/>
        </w:rPr>
        <w:t>The transaction price was allocated to the performance obligations based on the relative estimated standalone selling prices of each performance obligation.</w:t>
      </w:r>
    </w:p>
    <w:p>
      <w:pPr>
        <w:spacing w:after="0" w:line="163"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Company developed the estimated standalone selling price for the services and/or manufacturing and supply included in each of the performance obligations, as applicable, primarily based on the nature of the services to be performed and/or goods to be manufactured and estimates of the associated costs, adjusted for a reasonable profit margin that would be expected to be realized under similar contracts.</w:t>
      </w:r>
    </w:p>
    <w:p>
      <w:pPr>
        <w:spacing w:after="0" w:line="191" w:lineRule="exact"/>
        <w:rPr>
          <w:sz w:val="20"/>
          <w:szCs w:val="20"/>
          <w:color w:val="auto"/>
        </w:rPr>
      </w:pPr>
    </w:p>
    <w:p>
      <w:pPr>
        <w:ind w:right="320" w:firstLine="490"/>
        <w:spacing w:after="0" w:line="260" w:lineRule="auto"/>
        <w:rPr>
          <w:sz w:val="20"/>
          <w:szCs w:val="20"/>
          <w:color w:val="auto"/>
        </w:rPr>
      </w:pPr>
      <w:r>
        <w:rPr>
          <w:rFonts w:ascii="Times New Roman" w:cs="Times New Roman" w:eastAsia="Times New Roman" w:hAnsi="Times New Roman"/>
          <w:sz w:val="20"/>
          <w:szCs w:val="20"/>
          <w:color w:val="auto"/>
        </w:rPr>
        <w:t>The Company has determined that any sales-based royalties and milestones will be recognized as the Company delivers the clinical and commercial manufactured product to AffaMed. Any changes in estimates may result in a cumulative catch-up based on the number of units of manufactured product delivered.</w:t>
      </w:r>
    </w:p>
    <w:p>
      <w:pPr>
        <w:spacing w:after="0" w:line="183" w:lineRule="exact"/>
        <w:rPr>
          <w:sz w:val="20"/>
          <w:szCs w:val="20"/>
          <w:color w:val="auto"/>
        </w:rPr>
      </w:pPr>
    </w:p>
    <w:p>
      <w:pPr>
        <w:ind w:right="40" w:firstLine="489"/>
        <w:spacing w:after="0" w:line="250" w:lineRule="auto"/>
        <w:rPr>
          <w:sz w:val="20"/>
          <w:szCs w:val="20"/>
          <w:color w:val="auto"/>
        </w:rPr>
      </w:pPr>
      <w:r>
        <w:rPr>
          <w:rFonts w:ascii="Times New Roman" w:cs="Times New Roman" w:eastAsia="Times New Roman" w:hAnsi="Times New Roman"/>
          <w:sz w:val="20"/>
          <w:szCs w:val="20"/>
          <w:color w:val="auto"/>
        </w:rPr>
        <w:t>As of December 31, 2025, the transaction price was determined to be $16,000. All potential regulatory, development and commercial milestone payments in the amount of $87,000 did not meet the recognition criteria under the most likely method, because their achievement was highly dependent on factors outside the control of the Company and therefore, were excluded from the transaction price as of December 31, 2025. Furthermore, under the expected value method the Company excluded the potential royalties from the transaction price.</w:t>
      </w:r>
    </w:p>
    <w:p>
      <w:pPr>
        <w:spacing w:after="0" w:line="192" w:lineRule="exact"/>
        <w:rPr>
          <w:sz w:val="20"/>
          <w:szCs w:val="20"/>
          <w:color w:val="auto"/>
        </w:rPr>
      </w:pPr>
    </w:p>
    <w:p>
      <w:pPr>
        <w:ind w:right="240" w:firstLine="489"/>
        <w:spacing w:after="0" w:line="246" w:lineRule="auto"/>
        <w:rPr>
          <w:sz w:val="20"/>
          <w:szCs w:val="20"/>
          <w:color w:val="auto"/>
        </w:rPr>
      </w:pPr>
      <w:r>
        <w:rPr>
          <w:rFonts w:ascii="Times New Roman" w:cs="Times New Roman" w:eastAsia="Times New Roman" w:hAnsi="Times New Roman"/>
          <w:sz w:val="20"/>
          <w:szCs w:val="20"/>
          <w:color w:val="auto"/>
        </w:rPr>
        <w:t>The Company recognizes revenue related to the amounts allocated to the DEXTENZA Field performance obligation and the OTX-TIC Field performance obligation based on the point in time upon which control of supply is transferred to AffaMed for each delivery of the associated supply. The Company currently expects to recognize the revenue over a period of approximately seven to eight years commencing on the date the Company begins delivering product to AffaMed. This estimate of this period considers the timing of development and commercial activities under the License Agreement and may be reduced or increased based on the various activities as directed by the joint committees, decisions made by AffaMed, regulatory feedback or other factors not currently known.</w:t>
      </w:r>
    </w:p>
    <w:p>
      <w:pPr>
        <w:spacing w:after="0" w:line="201" w:lineRule="exact"/>
        <w:rPr>
          <w:sz w:val="20"/>
          <w:szCs w:val="20"/>
          <w:color w:val="auto"/>
        </w:rPr>
      </w:pPr>
    </w:p>
    <w:p>
      <w:pPr>
        <w:ind w:right="320" w:firstLine="490"/>
        <w:spacing w:after="0" w:line="280" w:lineRule="auto"/>
        <w:rPr>
          <w:sz w:val="20"/>
          <w:szCs w:val="20"/>
          <w:color w:val="auto"/>
        </w:rPr>
      </w:pPr>
      <w:r>
        <w:rPr>
          <w:rFonts w:ascii="Times New Roman" w:cs="Times New Roman" w:eastAsia="Times New Roman" w:hAnsi="Times New Roman"/>
          <w:sz w:val="20"/>
          <w:szCs w:val="20"/>
          <w:color w:val="auto"/>
        </w:rPr>
        <w:t>The Company recognized $128, $262 and $573 of collaboration revenue related to the Phase 2 Clinical Trial of OTX-TIC performance obligation for the years ended December 31, 2025, 2024 and 2023, respectively.</w:t>
      </w:r>
    </w:p>
    <w:p>
      <w:pPr>
        <w:spacing w:after="0" w:line="163" w:lineRule="exact"/>
        <w:rPr>
          <w:sz w:val="20"/>
          <w:szCs w:val="20"/>
          <w:color w:val="auto"/>
        </w:rPr>
      </w:pPr>
    </w:p>
    <w:p>
      <w:pPr>
        <w:ind w:right="80" w:firstLine="490"/>
        <w:spacing w:after="0" w:line="260" w:lineRule="auto"/>
        <w:rPr>
          <w:sz w:val="20"/>
          <w:szCs w:val="20"/>
          <w:color w:val="auto"/>
        </w:rPr>
      </w:pPr>
      <w:r>
        <w:rPr>
          <w:rFonts w:ascii="Times New Roman" w:cs="Times New Roman" w:eastAsia="Times New Roman" w:hAnsi="Times New Roman"/>
          <w:sz w:val="20"/>
          <w:szCs w:val="20"/>
          <w:color w:val="auto"/>
        </w:rPr>
        <w:t>As of December 31, 2025, the Company had recognized the full amount of the transaction price that was allocated to the Phase 2 Clinical Trial of OTX-TIC performance obligation as collaboration revenue, as this performance obligation is fully satisfied.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Deferred revenue activity for the year ended December 31, 2025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vMerge w:val="restart"/>
          </w:tcPr>
          <w:p>
            <w:pPr>
              <w:jc w:val="right"/>
              <w:ind w:right="4360"/>
              <w:spacing w:after="0"/>
              <w:rPr>
                <w:sz w:val="20"/>
                <w:szCs w:val="20"/>
                <w:color w:val="auto"/>
              </w:rPr>
            </w:pPr>
            <w:r>
              <w:rPr>
                <w:rFonts w:ascii="Times New Roman" w:cs="Times New Roman" w:eastAsia="Times New Roman" w:hAnsi="Times New Roman"/>
                <w:sz w:val="20"/>
                <w:szCs w:val="20"/>
                <w:color w:val="auto"/>
                <w:w w:val="99"/>
              </w:rPr>
              <w:t>Deferred revenue at December 31, 2024</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0" w:type="dxa"/>
            <w:vAlign w:val="bottom"/>
          </w:tcPr>
          <w:p>
            <w:pPr>
              <w:spacing w:after="0"/>
              <w:rPr>
                <w:sz w:val="1"/>
                <w:szCs w:val="1"/>
                <w:color w:val="auto"/>
              </w:rPr>
            </w:pPr>
          </w:p>
        </w:tc>
      </w:tr>
      <w:tr>
        <w:trPr>
          <w:trHeight w:val="202"/>
        </w:trPr>
        <w:tc>
          <w:tcPr>
            <w:tcW w:w="7680" w:type="dxa"/>
            <w:vAlign w:val="bottom"/>
            <w:vMerge w:val="continue"/>
          </w:tcPr>
          <w:p>
            <w:pPr>
              <w:jc w:val="right"/>
              <w:ind w:right="140"/>
              <w:spacing w:after="0" w:line="180"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20" w:type="dxa"/>
            <w:vAlign w:val="bottom"/>
          </w:tcPr>
          <w:p>
            <w:pPr>
              <w:spacing w:after="0"/>
              <w:rPr>
                <w:sz w:val="17"/>
                <w:szCs w:val="17"/>
                <w:color w:val="auto"/>
              </w:rPr>
            </w:pPr>
          </w:p>
        </w:tc>
        <w:tc>
          <w:tcPr>
            <w:tcW w:w="240" w:type="dxa"/>
            <w:vAlign w:val="bottom"/>
          </w:tcPr>
          <w:p>
            <w:pPr>
              <w:jc w:val="right"/>
              <w:ind w:right="40"/>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14,128</w:t>
            </w:r>
          </w:p>
        </w:tc>
        <w:tc>
          <w:tcPr>
            <w:tcW w:w="0" w:type="dxa"/>
            <w:vAlign w:val="bottom"/>
          </w:tcPr>
          <w:p>
            <w:pPr>
              <w:spacing w:after="0"/>
              <w:rPr>
                <w:sz w:val="1"/>
                <w:szCs w:val="1"/>
                <w:color w:val="auto"/>
              </w:rPr>
            </w:pPr>
          </w:p>
        </w:tc>
      </w:tr>
      <w:tr>
        <w:trPr>
          <w:trHeight w:val="242"/>
        </w:trPr>
        <w:tc>
          <w:tcPr>
            <w:tcW w:w="7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Amounts recognized into revenue. . . . . . . . . . . . . . . . . . . . . . . . . . . . . . . . . . . . . . . . . . . . . .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42"/>
        </w:trPr>
        <w:tc>
          <w:tcPr>
            <w:tcW w:w="7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 . . . . . . . . . . . . . . . . .DeferredrevenueatDecember31,2025</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7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9720"/>
          </w:cols>
          <w:pgMar w:left="1080" w:top="1079" w:right="1080"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color w:val="auto"/>
        </w:rPr>
        <w:t>4. Cash Equivalents and Restricted Cash</w:t>
      </w:r>
    </w:p>
    <w:p>
      <w:pPr>
        <w:spacing w:after="0" w:line="242" w:lineRule="exact"/>
        <w:rPr>
          <w:sz w:val="20"/>
          <w:szCs w:val="20"/>
          <w:color w:val="auto"/>
        </w:rPr>
      </w:pPr>
    </w:p>
    <w:p>
      <w:pPr>
        <w:ind w:right="100" w:firstLine="489"/>
        <w:spacing w:after="0" w:line="253" w:lineRule="auto"/>
        <w:rPr>
          <w:sz w:val="20"/>
          <w:szCs w:val="20"/>
          <w:color w:val="auto"/>
        </w:rPr>
      </w:pPr>
      <w:r>
        <w:rPr>
          <w:rFonts w:ascii="Times New Roman" w:cs="Times New Roman" w:eastAsia="Times New Roman" w:hAnsi="Times New Roman"/>
          <w:sz w:val="20"/>
          <w:szCs w:val="20"/>
          <w:color w:val="auto"/>
        </w:rPr>
        <w:t>The Company’s statements of cash flows include restricted cash with cash and cash equivalents when reconciling the beginning-of-period and end-of-period total amounts shown on such statements. A reconciliation of the cash, cash equivalents, and restricted cash reported within the balance sheet that sum to the total of the same amounts shown in the statement of cash flows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00" w:type="dxa"/>
            <w:vAlign w:val="bottom"/>
            <w:vMerge w:val="continue"/>
          </w:tcPr>
          <w:p>
            <w:pPr>
              <w:jc w:val="right"/>
              <w:ind w:right="1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20" w:type="dxa"/>
            <w:vAlign w:val="bottom"/>
          </w:tcPr>
          <w:p>
            <w:pPr>
              <w:spacing w:after="0"/>
              <w:rPr>
                <w:sz w:val="17"/>
                <w:szCs w:val="17"/>
                <w:color w:val="auto"/>
              </w:rPr>
            </w:pPr>
          </w:p>
        </w:tc>
        <w:tc>
          <w:tcPr>
            <w:tcW w:w="24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98"/>
              </w:rPr>
              <w:t>737,060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392,102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195,807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(current) . . . . . . . . . . . . . . . . . . . . . . . . . . . . . . . . . . . . . . . . . . . .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(non-current) . . . . . . . . . . . . . . . . . . . . . . . . . . . . . . . . . . . . . . . . .</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1,614</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Total cash, cash equivalents and restricted cash as shown on the statements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5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of cash flows . . . . . . . . . . . . . . . . . . . . . . . . . . . . . . . . . . . . . . . . . . . . . . . . . . . . .</w:t>
            </w:r>
          </w:p>
        </w:tc>
        <w:tc>
          <w:tcPr>
            <w:tcW w:w="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738,674</w:t>
            </w:r>
          </w:p>
        </w:tc>
        <w:tc>
          <w:tcPr>
            <w:tcW w:w="100" w:type="dxa"/>
            <w:vAlign w:val="bottom"/>
            <w:gridSpan w:val="2"/>
          </w:tcPr>
          <w:p>
            <w:pPr>
              <w:spacing w:after="0"/>
              <w:rPr>
                <w:sz w:val="22"/>
                <w:szCs w:val="22"/>
                <w:color w:val="auto"/>
              </w:rPr>
            </w:pPr>
          </w:p>
        </w:tc>
        <w:tc>
          <w:tcPr>
            <w:tcW w:w="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393,716</w:t>
            </w: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197,571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8"/>
        </w:trPr>
        <w:tc>
          <w:tcPr>
            <w:tcW w:w="7480" w:type="dxa"/>
            <w:vAlign w:val="bottom"/>
            <w:gridSpan w:val="4"/>
          </w:tcPr>
          <w:p>
            <w:pPr>
              <w:ind w:left="500"/>
              <w:spacing w:after="0"/>
              <w:rPr>
                <w:sz w:val="20"/>
                <w:szCs w:val="20"/>
                <w:color w:val="auto"/>
              </w:rPr>
            </w:pPr>
            <w:r>
              <w:rPr>
                <w:rFonts w:ascii="Times New Roman" w:cs="Times New Roman" w:eastAsia="Times New Roman" w:hAnsi="Times New Roman"/>
                <w:sz w:val="20"/>
                <w:szCs w:val="20"/>
                <w:color w:val="auto"/>
              </w:rPr>
              <w:t>The Company held restricted cash as security deposits for its real estate leases.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 Inventory</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5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Inventory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00" w:type="dxa"/>
            <w:vAlign w:val="bottom"/>
            <w:vMerge w:val="continue"/>
          </w:tcPr>
          <w:p>
            <w:pPr>
              <w:jc w:val="right"/>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20" w:type="dxa"/>
            <w:vAlign w:val="bottom"/>
          </w:tcPr>
          <w:p>
            <w:pPr>
              <w:spacing w:after="0"/>
              <w:rPr>
                <w:sz w:val="17"/>
                <w:szCs w:val="17"/>
                <w:color w:val="auto"/>
              </w:rPr>
            </w:pP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line="198" w:lineRule="exact"/>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202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w w:val="97"/>
              </w:rPr>
              <w:t>Work-in-process . . . .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w w:val="96"/>
              </w:rPr>
              <w:t>Finished goods . . . . . . . . . . . . . . . . . . . . . . . . . . . . . . . . . . . . . . . . . . . . . . . . . . . . . . .</w:t>
            </w: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gridSpan w:val="2"/>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3,564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3,040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Property and Equipment, net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65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Equipment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00" w:type="dxa"/>
            <w:vAlign w:val="bottom"/>
            <w:vMerge w:val="continue"/>
          </w:tcPr>
          <w:p>
            <w:pPr>
              <w:jc w:val="right"/>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w:t>
            </w:r>
          </w:p>
        </w:tc>
        <w:tc>
          <w:tcPr>
            <w:tcW w:w="20" w:type="dxa"/>
            <w:vAlign w:val="bottom"/>
          </w:tcPr>
          <w:p>
            <w:pPr>
              <w:spacing w:after="0"/>
              <w:rPr>
                <w:sz w:val="17"/>
                <w:szCs w:val="17"/>
                <w:color w:val="auto"/>
              </w:rPr>
            </w:pPr>
          </w:p>
        </w:tc>
        <w:tc>
          <w:tcPr>
            <w:tcW w:w="24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line="199" w:lineRule="exact"/>
              <w:rPr>
                <w:sz w:val="20"/>
                <w:szCs w:val="20"/>
                <w:color w:val="auto"/>
              </w:rPr>
            </w:pPr>
            <w:r>
              <w:rPr>
                <w:rFonts w:ascii="Times New Roman" w:cs="Times New Roman" w:eastAsia="Times New Roman" w:hAnsi="Times New Roman"/>
                <w:sz w:val="20"/>
                <w:szCs w:val="20"/>
                <w:color w:val="auto"/>
              </w:rPr>
              <w:t>. . . . . .</w:t>
            </w:r>
          </w:p>
        </w:tc>
        <w:tc>
          <w:tcPr>
            <w:tcW w:w="100" w:type="dxa"/>
            <w:vAlign w:val="bottom"/>
            <w:gridSpan w:val="2"/>
          </w:tcPr>
          <w:p>
            <w:pPr>
              <w:spacing w:after="0"/>
              <w:rPr>
                <w:sz w:val="17"/>
                <w:szCs w:val="17"/>
                <w:color w:val="auto"/>
              </w:rPr>
            </w:pPr>
          </w:p>
        </w:tc>
        <w:tc>
          <w:tcPr>
            <w:tcW w:w="200" w:type="dxa"/>
            <w:vAlign w:val="bottom"/>
            <w:gridSpan w:val="2"/>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20,062</w:t>
            </w: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gridSpan w:val="2"/>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16,782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w w:val="97"/>
              </w:rPr>
              <w:t>Leasehold improvements . . . . . . . . . . . . . . . . . . . . . . . . . . . . . . . . . . . . . . . . . . . . . .</w:t>
            </w:r>
          </w:p>
        </w:tc>
        <w:tc>
          <w:tcPr>
            <w:tcW w:w="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w w:val="97"/>
              </w:rPr>
              <w:t>Furniture and fixtures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w w:val="96"/>
              </w:rPr>
              <w:t>Software . . . . . . . . . . .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w w:val="97"/>
              </w:rPr>
              <w:t>Construction in progress . . . . . . . . . . . . . . . . . . . . . . . . . . . . . . . . . . . . . . . . . . . . . . .</w:t>
            </w: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47,196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33,021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w w:val="98"/>
              </w:rPr>
              <w:t>Less: Accumulated depreciation and amortization . . . . . . . . . . . . . . . . . . . . . . . . . .</w:t>
            </w: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87"/>
              </w:rPr>
              <w:t>. . .</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 . . . .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(27,520)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(23,632)</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gridSpan w:val="2"/>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19,676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gridSpan w:val="2"/>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9,389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300" w:firstLine="490"/>
        <w:spacing w:after="0" w:line="279" w:lineRule="auto"/>
        <w:rPr>
          <w:sz w:val="20"/>
          <w:szCs w:val="20"/>
          <w:color w:val="auto"/>
        </w:rPr>
      </w:pPr>
      <w:r>
        <w:rPr>
          <w:rFonts w:ascii="Times New Roman" w:cs="Times New Roman" w:eastAsia="Times New Roman" w:hAnsi="Times New Roman"/>
          <w:sz w:val="20"/>
          <w:szCs w:val="20"/>
          <w:color w:val="auto"/>
        </w:rPr>
        <w:t>Depreciation and amortization expense was $4,323, $3,786 and $2,983 for the years ended December 31, 2025,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24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The Company leases real estate, including laboratory, manufacturing and office space, and certain equipment. The Company’s two real estate leases in effect as of December 31, 2025 have remaining lease terms of approximately 1.5 years and 2.5 years, respectively. The Company’s equipment leases in effect as of December 31, 2025 have remaining lease terms ranging from approximately 0.9 to 1.3 years. All of the Company’s leases qualify as operating leases.</w:t>
      </w:r>
    </w:p>
    <w:p>
      <w:pPr>
        <w:spacing w:after="0" w:line="191" w:lineRule="exact"/>
        <w:rPr>
          <w:sz w:val="20"/>
          <w:szCs w:val="20"/>
          <w:color w:val="auto"/>
        </w:rPr>
      </w:pPr>
    </w:p>
    <w:p>
      <w:pPr>
        <w:ind w:right="40" w:firstLine="490"/>
        <w:spacing w:after="0" w:line="271" w:lineRule="auto"/>
        <w:rPr>
          <w:sz w:val="20"/>
          <w:szCs w:val="20"/>
          <w:color w:val="auto"/>
        </w:rPr>
      </w:pPr>
      <w:r>
        <w:rPr>
          <w:rFonts w:ascii="Times New Roman" w:cs="Times New Roman" w:eastAsia="Times New Roman" w:hAnsi="Times New Roman"/>
          <w:sz w:val="19"/>
          <w:szCs w:val="19"/>
          <w:color w:val="auto"/>
        </w:rPr>
        <w:t>The lease for the Company’s 20,445 square feet of manufacturing space located at 36 Crosby Drive in Bedford, Massachusetts commenced on June 30, 2018. On October 18, 2022, the Company exercised its option to extend the lease agreement by an additional five-year term, resulting in a new expiration date of July 31, 2028. Under the terms of the existing lease, rent for the five-year extension period was based on the current fair market rent for comparable space in</w:t>
      </w: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9720"/>
          </w:cols>
          <w:pgMar w:left="1080" w:top="1062" w:right="1080" w:bottom="0" w:gutter="0" w:footer="0" w:header="0"/>
          <w:type w:val="continuous"/>
        </w:sectPr>
      </w:pPr>
    </w:p>
    <w:bookmarkStart w:id="163" w:name="page164"/>
    <w:bookmarkEnd w:id="163"/>
    <w:p>
      <w:pPr>
        <w:spacing w:after="0" w:line="245" w:lineRule="auto"/>
        <w:rPr>
          <w:sz w:val="20"/>
          <w:szCs w:val="20"/>
          <w:color w:val="auto"/>
        </w:rPr>
      </w:pPr>
      <w:r>
        <w:rPr>
          <w:rFonts w:ascii="Times New Roman" w:cs="Times New Roman" w:eastAsia="Times New Roman" w:hAnsi="Times New Roman"/>
          <w:sz w:val="20"/>
          <w:szCs w:val="20"/>
          <w:color w:val="auto"/>
        </w:rPr>
        <w:t>the building and in other similar buildings in the same rental market as of August 1, 2023, the commencement date of the additional five-year term. The Company estimated the prevailing market rental rates at the time when the Company exercised the renewal option and included these in the remeasurement of the operating lease asset and the lease liability. This resulted in an increase of the operating lease assets and operating lease liabilities of $4,284 as of the remeasurement date. As this is an estimate for variable payments that depend on an index or a rate, the Company has not remeasured the payments for the five-year renewal period as of the commencement date of the five-year extension term. On June 30, 2023, the Company and the landlord executed an amendment to this lease, formally extending the term of the lease through July 31, 2028. This lease does not include any additional renewal options.</w:t>
      </w:r>
    </w:p>
    <w:p>
      <w:pPr>
        <w:spacing w:after="0" w:line="203" w:lineRule="exact"/>
        <w:rPr>
          <w:sz w:val="20"/>
          <w:szCs w:val="20"/>
          <w:color w:val="auto"/>
        </w:rPr>
      </w:pPr>
    </w:p>
    <w:p>
      <w:pPr>
        <w:jc w:val="both"/>
        <w:ind w:right="160" w:firstLine="490"/>
        <w:spacing w:after="0" w:line="250" w:lineRule="auto"/>
        <w:rPr>
          <w:sz w:val="20"/>
          <w:szCs w:val="20"/>
          <w:color w:val="auto"/>
        </w:rPr>
      </w:pPr>
      <w:r>
        <w:rPr>
          <w:rFonts w:ascii="Times New Roman" w:cs="Times New Roman" w:eastAsia="Times New Roman" w:hAnsi="Times New Roman"/>
          <w:sz w:val="20"/>
          <w:szCs w:val="20"/>
          <w:color w:val="auto"/>
        </w:rPr>
        <w:t>The lease for the Company’s approximately 70,712 square feet of general office, research and development and manufacturing space located at 15 Crosby Drive in Bedford, Massachusetts commenced on February 1, 2017 and will expire on July 31, 2027. The Company has the option to extend the lease for two additional periods of five years each by delivering written notice of the exercise not earlier than fifteen months nor later than 12 months before expiration of the original term.</w:t>
      </w:r>
    </w:p>
    <w:p>
      <w:pPr>
        <w:spacing w:after="0" w:line="192" w:lineRule="exact"/>
        <w:rPr>
          <w:sz w:val="20"/>
          <w:szCs w:val="20"/>
          <w:color w:val="auto"/>
        </w:rPr>
      </w:pPr>
    </w:p>
    <w:p>
      <w:pPr>
        <w:ind w:right="540" w:firstLine="490"/>
        <w:spacing w:after="0" w:line="280" w:lineRule="auto"/>
        <w:rPr>
          <w:sz w:val="20"/>
          <w:szCs w:val="20"/>
          <w:color w:val="auto"/>
        </w:rPr>
      </w:pPr>
      <w:r>
        <w:rPr>
          <w:rFonts w:ascii="Times New Roman" w:cs="Times New Roman" w:eastAsia="Times New Roman" w:hAnsi="Times New Roman"/>
          <w:sz w:val="20"/>
          <w:szCs w:val="20"/>
          <w:color w:val="auto"/>
        </w:rPr>
        <w:t>The lease for the Company’s approximately 30,036 square feet of office space located at 24 Crosby Drive in Bedford, Massachusetts commenced on April 18, 2019 and terminated on March 31, 2024.</w:t>
      </w:r>
    </w:p>
    <w:p>
      <w:pPr>
        <w:spacing w:after="0" w:line="163" w:lineRule="exact"/>
        <w:rPr>
          <w:sz w:val="20"/>
          <w:szCs w:val="20"/>
          <w:color w:val="auto"/>
        </w:rPr>
      </w:pPr>
    </w:p>
    <w:p>
      <w:pPr>
        <w:ind w:right="680" w:firstLine="490"/>
        <w:spacing w:after="0" w:line="280" w:lineRule="auto"/>
        <w:rPr>
          <w:sz w:val="20"/>
          <w:szCs w:val="20"/>
          <w:color w:val="auto"/>
        </w:rPr>
      </w:pPr>
      <w:r>
        <w:rPr>
          <w:rFonts w:ascii="Times New Roman" w:cs="Times New Roman" w:eastAsia="Times New Roman" w:hAnsi="Times New Roman"/>
          <w:sz w:val="20"/>
          <w:szCs w:val="20"/>
          <w:color w:val="auto"/>
        </w:rPr>
        <w:t>Certain equipment leases include options to renew on a month-by-month basis, at the sole discretion of the Company.</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Recognized lease costs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Operating lease costs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2"/>
        </w:trPr>
        <w:tc>
          <w:tcPr>
            <w:tcW w:w="5980" w:type="dxa"/>
            <w:vAlign w:val="bottom"/>
            <w:gridSpan w:val="2"/>
            <w:vMerge w:val="continue"/>
          </w:tcPr>
          <w:p>
            <w:pPr>
              <w:jc w:val="right"/>
              <w:ind w:right="280"/>
              <w:spacing w:after="0" w:line="180"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3,392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3,027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2,663</w:t>
            </w:r>
          </w:p>
        </w:tc>
        <w:tc>
          <w:tcPr>
            <w:tcW w:w="0" w:type="dxa"/>
            <w:vAlign w:val="bottom"/>
          </w:tcPr>
          <w:p>
            <w:pPr>
              <w:spacing w:after="0"/>
              <w:rPr>
                <w:sz w:val="1"/>
                <w:szCs w:val="1"/>
                <w:color w:val="auto"/>
              </w:rPr>
            </w:pPr>
          </w:p>
        </w:tc>
      </w:tr>
      <w:tr>
        <w:trPr>
          <w:trHeight w:val="242"/>
        </w:trPr>
        <w:tc>
          <w:tcPr>
            <w:tcW w:w="5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Variable lease costs . . . . . . . . . . . . . . . . . . . . . . . . . . . . . . . . . . . . . . . . . . .</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w:t>
            </w:r>
          </w:p>
        </w:tc>
        <w:tc>
          <w:tcPr>
            <w:tcW w:w="0" w:type="dxa"/>
            <w:vAlign w:val="bottom"/>
          </w:tcPr>
          <w:p>
            <w:pPr>
              <w:spacing w:after="0"/>
              <w:rPr>
                <w:sz w:val="1"/>
                <w:szCs w:val="1"/>
                <w:color w:val="auto"/>
              </w:rPr>
            </w:pPr>
          </w:p>
        </w:tc>
      </w:tr>
      <w:tr>
        <w:trPr>
          <w:trHeight w:val="242"/>
        </w:trPr>
        <w:tc>
          <w:tcPr>
            <w:tcW w:w="59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5"/>
              </w:rPr>
              <w:t>Total lease costs . . . . . . . . . . . . . . . . . .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3,996</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minimum lease payments for the next five years and thereafter are expected to be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minimum lease payments for the next five years and thereafter are expected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20" w:type="dxa"/>
            <w:vAlign w:val="bottom"/>
          </w:tcPr>
          <w:p>
            <w:pPr>
              <w:spacing w:after="0"/>
              <w:rPr>
                <w:sz w:val="17"/>
                <w:szCs w:val="17"/>
                <w:color w:val="auto"/>
              </w:rPr>
            </w:pPr>
          </w:p>
        </w:tc>
        <w:tc>
          <w:tcPr>
            <w:tcW w:w="7880" w:type="dxa"/>
            <w:vAlign w:val="bottom"/>
            <w:tcBorders>
              <w:bottom w:val="single" w:sz="8" w:color="auto"/>
            </w:tcBorders>
          </w:tcPr>
          <w:p>
            <w:pPr>
              <w:jc w:val="right"/>
              <w:ind w:right="6044"/>
              <w:spacing w:after="0"/>
              <w:rPr>
                <w:sz w:val="20"/>
                <w:szCs w:val="20"/>
                <w:color w:val="auto"/>
              </w:rPr>
            </w:pPr>
            <w:r>
              <w:rPr>
                <w:rFonts w:ascii="Times New Roman" w:cs="Times New Roman" w:eastAsia="Times New Roman" w:hAnsi="Times New Roman"/>
                <w:sz w:val="16"/>
                <w:szCs w:val="16"/>
                <w:color w:val="auto"/>
                <w:w w:val="98"/>
              </w:rPr>
              <w:t>Year Ending December 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20" w:type="dxa"/>
            <w:vAlign w:val="bottom"/>
          </w:tcPr>
          <w:p>
            <w:pPr>
              <w:spacing w:after="0"/>
              <w:rPr>
                <w:sz w:val="17"/>
                <w:szCs w:val="17"/>
                <w:color w:val="auto"/>
              </w:rPr>
            </w:pPr>
          </w:p>
        </w:tc>
        <w:tc>
          <w:tcPr>
            <w:tcW w:w="78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96"/>
              </w:rPr>
              <w:t>2026 . . . . . . . . . . . . . . . . . . . . . . . . . . . . . . . . . . . . . . . . . . . . . . . . . . . . . . . . . . . . . . . . . . . . . . . . . . . . .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3,269</w:t>
            </w:r>
          </w:p>
        </w:tc>
      </w:tr>
      <w:tr>
        <w:trPr>
          <w:trHeight w:val="229"/>
        </w:trPr>
        <w:tc>
          <w:tcPr>
            <w:tcW w:w="7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2027 . . . . . . . . . . . . . . . . . . . . . . . . . . . . . . . . . . . . . . . . . . . . . . . . . . . . . . . . . . . . . . . . . . . . . . . . . . . . .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2,317</w:t>
            </w:r>
          </w:p>
        </w:tc>
      </w:tr>
      <w:tr>
        <w:trPr>
          <w:trHeight w:val="230"/>
        </w:trPr>
        <w:tc>
          <w:tcPr>
            <w:tcW w:w="7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2028 . . . . . . . . . . . . . . . . . . . . . . . . . . . . . . . . . . . . . . . . . . . . . . . . . . . . . . . . . . . . . . . . . . . . . . . . . . . . .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30"/>
        </w:trPr>
        <w:tc>
          <w:tcPr>
            <w:tcW w:w="7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2029 . . . . . . . . . . . . . . . . . . . . . . . . . . . . . . . . . . . . . . . . . . . . . . . . . . . . . . . . . . . . . . . . . . . . . . . . . . . . .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2030 . . . . . . . . . . . . . . . . . . . . . . . . . . . . . . . . . . . . . . . . . . . . . . . . . . . . . . . . . . . . . . . . . . . . . . . . . . . . .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20" w:type="dxa"/>
            <w:vAlign w:val="bottom"/>
          </w:tcPr>
          <w:p>
            <w:pPr>
              <w:spacing w:after="0"/>
              <w:rPr>
                <w:sz w:val="20"/>
                <w:szCs w:val="20"/>
                <w:color w:val="auto"/>
              </w:rPr>
            </w:pPr>
          </w:p>
        </w:tc>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Thereafter . . . . . . . . . . . . . . . . . . . . . . . . . . . . . . . . . . . . . . . . . . . . . . . . . . . . . . . . . . . . . . . . . . . .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9"/>
        </w:trPr>
        <w:tc>
          <w:tcPr>
            <w:tcW w:w="20" w:type="dxa"/>
            <w:vAlign w:val="bottom"/>
          </w:tcPr>
          <w:p>
            <w:pPr>
              <w:spacing w:after="0"/>
              <w:rPr>
                <w:sz w:val="18"/>
                <w:szCs w:val="18"/>
                <w:color w:val="auto"/>
              </w:rPr>
            </w:pPr>
          </w:p>
        </w:tc>
        <w:tc>
          <w:tcPr>
            <w:tcW w:w="78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.Totalleasepayments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6,336</w:t>
            </w:r>
          </w:p>
        </w:tc>
      </w:tr>
      <w:tr>
        <w:trPr>
          <w:trHeight w:val="241"/>
        </w:trPr>
        <w:tc>
          <w:tcPr>
            <w:tcW w:w="20" w:type="dxa"/>
            <w:vAlign w:val="bottom"/>
          </w:tcPr>
          <w:p>
            <w:pPr>
              <w:spacing w:after="0"/>
              <w:rPr>
                <w:sz w:val="20"/>
                <w:szCs w:val="20"/>
                <w:color w:val="auto"/>
              </w:rPr>
            </w:pPr>
          </w:p>
        </w:tc>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Less: interest . . . . . . . . . . . . . . . . . . . . . . . . . . . . . . . . . . . . . . . . . . . . . . . . . . . . . . . . . . . . . . . . . .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w:t>
            </w:r>
          </w:p>
        </w:tc>
      </w:tr>
      <w:tr>
        <w:trPr>
          <w:trHeight w:val="240"/>
        </w:trPr>
        <w:tc>
          <w:tcPr>
            <w:tcW w:w="7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.Presentvalueofoperatingleaseliabilities</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5,632</w:t>
            </w:r>
          </w:p>
        </w:tc>
      </w:tr>
    </w:tbl>
    <w:p>
      <w:pPr>
        <w:spacing w:after="0" w:line="208" w:lineRule="exact"/>
        <w:rPr>
          <w:sz w:val="20"/>
          <w:szCs w:val="20"/>
          <w:color w:val="auto"/>
        </w:rPr>
      </w:pPr>
    </w:p>
    <w:p>
      <w:pPr>
        <w:ind w:right="20" w:firstLine="556"/>
        <w:spacing w:after="0" w:line="280" w:lineRule="auto"/>
        <w:rPr>
          <w:sz w:val="20"/>
          <w:szCs w:val="20"/>
          <w:color w:val="auto"/>
        </w:rPr>
      </w:pPr>
      <w:r>
        <w:rPr>
          <w:rFonts w:ascii="Times New Roman" w:cs="Times New Roman" w:eastAsia="Times New Roman" w:hAnsi="Times New Roman"/>
          <w:sz w:val="20"/>
          <w:szCs w:val="20"/>
          <w:color w:val="auto"/>
        </w:rPr>
        <w:t>The following table summarizes the weighted average remaining lease term and the weighted average incremental borrowing rate used to determine the operating lease liability: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6740" w:type="dxa"/>
            <w:vAlign w:val="bottom"/>
            <w:vMerge w:val="restart"/>
          </w:tcPr>
          <w:p>
            <w:pPr>
              <w:jc w:val="right"/>
              <w:ind w:right="2780"/>
              <w:spacing w:after="0"/>
              <w:rPr>
                <w:sz w:val="20"/>
                <w:szCs w:val="20"/>
                <w:color w:val="auto"/>
              </w:rPr>
            </w:pPr>
            <w:r>
              <w:rPr>
                <w:rFonts w:ascii="Times New Roman" w:cs="Times New Roman" w:eastAsia="Times New Roman" w:hAnsi="Times New Roman"/>
                <w:sz w:val="20"/>
                <w:szCs w:val="20"/>
                <w:color w:val="auto"/>
                <w:w w:val="99"/>
              </w:rPr>
              <w:t>Weighted average remaining lease term in years</w:t>
            </w: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vMerge w:val="continue"/>
          </w:tcPr>
          <w:p>
            <w:pPr>
              <w:jc w:val="right"/>
              <w:ind w:right="160"/>
              <w:spacing w:after="0" w:line="178" w:lineRule="exact"/>
              <w:rPr>
                <w:sz w:val="20"/>
                <w:szCs w:val="20"/>
                <w:color w:val="auto"/>
              </w:rPr>
            </w:pPr>
            <w:r>
              <w:rPr>
                <w:rFonts w:ascii="Times New Roman" w:cs="Times New Roman" w:eastAsia="Times New Roman" w:hAnsi="Times New Roman"/>
                <w:sz w:val="20"/>
                <w:szCs w:val="20"/>
                <w:color w:val="auto"/>
              </w:rPr>
              <w:t>. . . . . . . . . . . . . . . . . . . . . . . . . . .</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2.0</w:t>
            </w:r>
          </w:p>
        </w:tc>
        <w:tc>
          <w:tcPr>
            <w:tcW w:w="28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67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Weighted average discount rate . . . . . . . . . . . . . . . . . . . . . . . . . . . . . . . . . . . . . . . . .</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12.15 %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9720"/>
          </w:cols>
          <w:pgMar w:left="1080" w:top="1064" w:right="1080" w:bottom="0" w:gutter="0" w:footer="0" w:header="0"/>
          <w:type w:val="continuous"/>
        </w:sectPr>
      </w:pPr>
    </w:p>
    <w:bookmarkStart w:id="164" w:name="page165"/>
    <w:bookmarkEnd w:id="164"/>
    <w:p>
      <w:pPr>
        <w:ind w:right="480" w:firstLine="489"/>
        <w:spacing w:after="0" w:line="280" w:lineRule="auto"/>
        <w:rPr>
          <w:sz w:val="20"/>
          <w:szCs w:val="20"/>
          <w:color w:val="auto"/>
        </w:rPr>
      </w:pPr>
      <w:r>
        <w:rPr>
          <w:rFonts w:ascii="Times New Roman" w:cs="Times New Roman" w:eastAsia="Times New Roman" w:hAnsi="Times New Roman"/>
          <w:sz w:val="20"/>
          <w:szCs w:val="20"/>
          <w:color w:val="auto"/>
        </w:rPr>
        <w:t>Supplemental disclosure of cash flow information related to the Company’s operating leases included in cash flows provided by operating activities in its consolidated statements of cash flows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84"/>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84"/>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6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6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58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58"/>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 . .</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3,392</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3,027</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Expenses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recognized $505, $917, and $880 of advertising expenses for the years ended December 31, 2025,</w:t>
      </w:r>
    </w:p>
    <w:p>
      <w:pPr>
        <w:spacing w:after="0"/>
        <w:rPr>
          <w:sz w:val="20"/>
          <w:szCs w:val="20"/>
          <w:color w:val="auto"/>
        </w:rPr>
      </w:pPr>
      <w:r>
        <w:rPr>
          <w:rFonts w:ascii="Times New Roman" w:cs="Times New Roman" w:eastAsia="Times New Roman" w:hAnsi="Times New Roman"/>
          <w:sz w:val="20"/>
          <w:szCs w:val="20"/>
          <w:color w:val="auto"/>
        </w:rPr>
        <w:t>2024 and 2023, respectively.</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Accrued expenses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Accrued payroll and related expenses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560" w:type="dxa"/>
            <w:vAlign w:val="bottom"/>
            <w:gridSpan w:val="2"/>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w:t>
            </w:r>
          </w:p>
        </w:tc>
        <w:tc>
          <w:tcPr>
            <w:tcW w:w="20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17,971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14,272</w:t>
            </w:r>
          </w:p>
        </w:tc>
        <w:tc>
          <w:tcPr>
            <w:tcW w:w="0" w:type="dxa"/>
            <w:vAlign w:val="bottom"/>
          </w:tcPr>
          <w:p>
            <w:pPr>
              <w:spacing w:after="0"/>
              <w:rPr>
                <w:sz w:val="1"/>
                <w:szCs w:val="1"/>
                <w:color w:val="auto"/>
              </w:rPr>
            </w:pPr>
          </w:p>
        </w:tc>
      </w:tr>
      <w:tr>
        <w:trPr>
          <w:trHeight w:val="230"/>
        </w:trPr>
        <w:tc>
          <w:tcPr>
            <w:tcW w:w="7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Accrued rebates and programs . . . . . . . . . . . . . . . . . . . . . . . . . . . . . . . . . . . . . . . . . . . . . . . . .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5,265</w:t>
            </w:r>
          </w:p>
        </w:tc>
        <w:tc>
          <w:tcPr>
            <w:tcW w:w="0" w:type="dxa"/>
            <w:vAlign w:val="bottom"/>
          </w:tcPr>
          <w:p>
            <w:pPr>
              <w:spacing w:after="0"/>
              <w:rPr>
                <w:sz w:val="1"/>
                <w:szCs w:val="1"/>
                <w:color w:val="auto"/>
              </w:rPr>
            </w:pPr>
          </w:p>
        </w:tc>
      </w:tr>
      <w:tr>
        <w:trPr>
          <w:trHeight w:val="230"/>
        </w:trPr>
        <w:tc>
          <w:tcPr>
            <w:tcW w:w="7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Accrued professional fees . . . . . . . . . . . . . . . . . . . . . . . . . . . . . . . . . . . . . . . . . . . . . . . . . . . . .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0" w:type="dxa"/>
            <w:vAlign w:val="bottom"/>
          </w:tcPr>
          <w:p>
            <w:pPr>
              <w:spacing w:after="0"/>
              <w:rPr>
                <w:sz w:val="1"/>
                <w:szCs w:val="1"/>
                <w:color w:val="auto"/>
              </w:rPr>
            </w:pPr>
          </w:p>
        </w:tc>
      </w:tr>
      <w:tr>
        <w:trPr>
          <w:trHeight w:val="229"/>
        </w:trPr>
        <w:tc>
          <w:tcPr>
            <w:tcW w:w="7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Accrued research and development expenses . . . . . . . . . . . . . . . . . . . . . . . . . . . . . . . . . . . . .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11,054</w:t>
            </w:r>
          </w:p>
        </w:tc>
        <w:tc>
          <w:tcPr>
            <w:tcW w:w="0" w:type="dxa"/>
            <w:vAlign w:val="bottom"/>
          </w:tcPr>
          <w:p>
            <w:pPr>
              <w:spacing w:after="0"/>
              <w:rPr>
                <w:sz w:val="1"/>
                <w:szCs w:val="1"/>
                <w:color w:val="auto"/>
              </w:rPr>
            </w:pPr>
          </w:p>
        </w:tc>
      </w:tr>
      <w:tr>
        <w:trPr>
          <w:trHeight w:val="230"/>
        </w:trPr>
        <w:tc>
          <w:tcPr>
            <w:tcW w:w="7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Accrued interest payable on Barings Credit Facility (Note 9) . . . . . . . . . . . . . . . . . . . . . . . .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0" w:type="dxa"/>
            <w:vAlign w:val="bottom"/>
          </w:tcPr>
          <w:p>
            <w:pPr>
              <w:spacing w:after="0"/>
              <w:rPr>
                <w:sz w:val="1"/>
                <w:szCs w:val="1"/>
                <w:color w:val="auto"/>
              </w:rPr>
            </w:pPr>
          </w:p>
        </w:tc>
      </w:tr>
      <w:tr>
        <w:trPr>
          <w:trHeight w:val="252"/>
        </w:trPr>
        <w:tc>
          <w:tcPr>
            <w:tcW w:w="7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Accrued other . . . . . . . . . . . . . . . . . . . . . . . . . . . . . . . . . . . . . . . . . . . . . . . . . . . . . . . . . . . . . . .</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2,055</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43,835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35,117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7440" w:firstLine="7"/>
        <w:spacing w:after="0" w:line="491" w:lineRule="auto"/>
        <w:tabs>
          <w:tab w:leader="none" w:pos="2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Liabilities Barings Credit Agreement</w:t>
      </w:r>
    </w:p>
    <w:p>
      <w:pPr>
        <w:spacing w:after="0" w:line="2" w:lineRule="exact"/>
        <w:rPr>
          <w:sz w:val="20"/>
          <w:szCs w:val="20"/>
          <w:color w:val="auto"/>
        </w:rPr>
      </w:pPr>
    </w:p>
    <w:p>
      <w:pPr>
        <w:ind w:right="80" w:firstLine="490"/>
        <w:spacing w:after="0" w:line="241" w:lineRule="auto"/>
        <w:rPr>
          <w:sz w:val="20"/>
          <w:szCs w:val="20"/>
          <w:color w:val="auto"/>
        </w:rPr>
      </w:pPr>
      <w:r>
        <w:rPr>
          <w:rFonts w:ascii="Times New Roman" w:cs="Times New Roman" w:eastAsia="Times New Roman" w:hAnsi="Times New Roman"/>
          <w:sz w:val="20"/>
          <w:szCs w:val="20"/>
          <w:color w:val="auto"/>
        </w:rPr>
        <w:t>On August 2, 2023 (the “Closing Date”), the Company entered into a credit and security agreement (the “Barings Credit Agreement”) with Barings Finance LLC (“Barings”), as administrative agent, and the lenders party thereto, providing for a secured term loan facility for the Company (the “Barings Credit Facility”) in the aggregate principal amount of $82,474 (the “Total Credit Facility Amount”). The Company borrowed the full amount of $82,474 at closing and received proceeds of $77,290, after the application of an original issue discount and fees. Indebtedness under the Barings Credit Facility matures on the six-year anniversary of the Closing Date. Indebtedness under the Barings Credit Facility incurs interest based on the Secured Overnight Financing Rate (“SOFR”), subject to a minimum 1.50% floor, plus 6.75%. The Company is obligated to make interest payments on its indebtedness under the Barings Credit Facility on a monthly basis, commencing on the Closing Date; to pay annual administration fees; and to pay, on the maturity date, any principal and accrued interest that remains outstanding as of such date. In addition, the Company is obligated to pay a fee in an amount equal to the Total Credit Facility Amount, which amount shall be reduced by the total amount of interest and principal prepayment fees paid under the Barings Credit Agreement (such fee, the “Barings Royalty Fee”). The Company is required to pay the Barings Royalty Fee in installments to Barings, for the benefit of the lenders, on a quarterly basis in an amount equal to three and one-half percent (3.5%) of the net sales of DEXTENZA occurring during such quarter, subject to the terms, conditions and limitations specified in the Barings Credit Agreement, until the Barings Royalty Fee is paid in full. The Barings Royalty Fee is due and payable upon a change of control of the Company. The Company may, at its option, prepay any or all of the Barings Royalty Fee at any time without penalty. In connection with the Barings Credit Agreement, the Company granted the lenders thereto a first-priority security interest in all assets of the Company, including its intellectual property, subject to certain agreed-upon exceptions. The Barings Credit Agreement includes customary affirmative and negative covenants and requires the Company to maintain a minimum liquidity amount of $20,000. As of December 31, 2025, the Company was not in violation of any of its covenants under the Barings Credit Agreement.</w:t>
      </w:r>
    </w:p>
    <w:p>
      <w:pPr>
        <w:spacing w:after="0" w:line="22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The Company determined that the embedded obligation to pay the Barings Royalty Fee (the “Barings Royalty Fee Obligation”) is required to be separated from the Barings Credit Facility and accounted for as a freestanding derivative instrument subject to derivative accounting. The allocation of proceeds to the Barings Royalty Fee Obligation resulted in a discount on the Barings Credit Facility. The Company is amortizing the discount to interest expense over the term of</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9720"/>
          </w:cols>
          <w:pgMar w:left="1080" w:top="1064" w:right="1080" w:bottom="0" w:gutter="0" w:footer="0" w:header="0"/>
          <w:type w:val="continuous"/>
        </w:sectPr>
      </w:pPr>
    </w:p>
    <w:bookmarkStart w:id="165" w:name="page166"/>
    <w:bookmarkEnd w:id="165"/>
    <w:p>
      <w:pPr>
        <w:ind w:right="80"/>
        <w:spacing w:after="0" w:line="280" w:lineRule="auto"/>
        <w:rPr>
          <w:sz w:val="20"/>
          <w:szCs w:val="20"/>
          <w:color w:val="auto"/>
        </w:rPr>
      </w:pPr>
      <w:r>
        <w:rPr>
          <w:rFonts w:ascii="Times New Roman" w:cs="Times New Roman" w:eastAsia="Times New Roman" w:hAnsi="Times New Roman"/>
          <w:sz w:val="20"/>
          <w:szCs w:val="20"/>
          <w:color w:val="auto"/>
        </w:rPr>
        <w:t>the Barings Credit Facility using the effective interest method. Accrued or paid Barings Royalty Fees are included in the change in fair value of derivative liabilities on the consolidated statements of operations and comprehensive loss.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summary of the Barings Credit Facility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140" w:type="dxa"/>
            <w:vAlign w:val="bottom"/>
            <w:vMerge w:val="restart"/>
          </w:tcPr>
          <w:p>
            <w:pPr>
              <w:jc w:val="right"/>
              <w:ind w:right="5200"/>
              <w:spacing w:after="0"/>
              <w:rPr>
                <w:sz w:val="20"/>
                <w:szCs w:val="20"/>
                <w:color w:val="auto"/>
              </w:rPr>
            </w:pPr>
            <w:r>
              <w:rPr>
                <w:rFonts w:ascii="Times New Roman" w:cs="Times New Roman" w:eastAsia="Times New Roman" w:hAnsi="Times New Roman"/>
                <w:sz w:val="20"/>
                <w:szCs w:val="20"/>
                <w:color w:val="auto"/>
                <w:w w:val="99"/>
              </w:rPr>
              <w:t>Barings Credit Facility</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4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w:t>
            </w:r>
          </w:p>
        </w:tc>
        <w:tc>
          <w:tcPr>
            <w:tcW w:w="20" w:type="dxa"/>
            <w:vAlign w:val="bottom"/>
          </w:tcPr>
          <w:p>
            <w:pPr>
              <w:spacing w:after="0"/>
              <w:rPr>
                <w:sz w:val="17"/>
                <w:szCs w:val="17"/>
                <w:color w:val="auto"/>
              </w:rPr>
            </w:pPr>
          </w:p>
        </w:tc>
        <w:tc>
          <w:tcPr>
            <w:tcW w:w="260" w:type="dxa"/>
            <w:vAlign w:val="bottom"/>
          </w:tcPr>
          <w:p>
            <w:pPr>
              <w:jc w:val="right"/>
              <w:ind w:right="67"/>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center"/>
              <w:ind w:left="125"/>
              <w:spacing w:after="0" w:line="198" w:lineRule="exact"/>
              <w:rPr>
                <w:sz w:val="20"/>
                <w:szCs w:val="20"/>
                <w:color w:val="auto"/>
              </w:rPr>
            </w:pPr>
            <w:r>
              <w:rPr>
                <w:rFonts w:ascii="Times New Roman" w:cs="Times New Roman" w:eastAsia="Times New Roman" w:hAnsi="Times New Roman"/>
                <w:sz w:val="20"/>
                <w:szCs w:val="20"/>
                <w:color w:val="auto"/>
              </w:rPr>
              <w:t>82,474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jc w:val="center"/>
              <w:ind w:left="408"/>
              <w:spacing w:after="0" w:line="198" w:lineRule="exact"/>
              <w:rPr>
                <w:sz w:val="20"/>
                <w:szCs w:val="20"/>
                <w:color w:val="auto"/>
              </w:rPr>
            </w:pPr>
            <w:r>
              <w:rPr>
                <w:rFonts w:ascii="Times New Roman" w:cs="Times New Roman" w:eastAsia="Times New Roman" w:hAnsi="Times New Roman"/>
                <w:sz w:val="20"/>
                <w:szCs w:val="20"/>
                <w:color w:val="auto"/>
              </w:rPr>
              <w:t>82,474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Less: unamortized discount . . . . .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(11,138)</w:t>
            </w:r>
          </w:p>
        </w:tc>
        <w:tc>
          <w:tcPr>
            <w:tcW w:w="20" w:type="dxa"/>
            <w:vAlign w:val="bottom"/>
          </w:tcPr>
          <w:p>
            <w:pPr>
              <w:spacing w:after="0"/>
              <w:rPr>
                <w:sz w:val="20"/>
                <w:szCs w:val="20"/>
                <w:color w:val="auto"/>
              </w:rPr>
            </w:pPr>
          </w:p>
        </w:tc>
        <w:tc>
          <w:tcPr>
            <w:tcW w:w="1200" w:type="dxa"/>
            <w:vAlign w:val="bottom"/>
            <w:gridSpan w:val="2"/>
          </w:tcPr>
          <w:p>
            <w:pPr>
              <w:jc w:val="center"/>
              <w:ind w:left="388"/>
              <w:spacing w:after="0"/>
              <w:rPr>
                <w:sz w:val="20"/>
                <w:szCs w:val="20"/>
                <w:color w:val="auto"/>
              </w:rPr>
            </w:pPr>
            <w:r>
              <w:rPr>
                <w:rFonts w:ascii="Times New Roman" w:cs="Times New Roman" w:eastAsia="Times New Roman" w:hAnsi="Times New Roman"/>
                <w:sz w:val="20"/>
                <w:szCs w:val="20"/>
                <w:color w:val="auto"/>
                <w:w w:val="99"/>
              </w:rPr>
              <w:t>(13,969)</w:t>
            </w:r>
          </w:p>
        </w:tc>
        <w:tc>
          <w:tcPr>
            <w:tcW w:w="0" w:type="dxa"/>
            <w:vAlign w:val="bottom"/>
          </w:tcPr>
          <w:p>
            <w:pPr>
              <w:spacing w:after="0"/>
              <w:rPr>
                <w:sz w:val="1"/>
                <w:szCs w:val="1"/>
                <w:color w:val="auto"/>
              </w:rPr>
            </w:pPr>
          </w:p>
        </w:tc>
      </w:tr>
      <w:tr>
        <w:trPr>
          <w:trHeight w:val="240"/>
        </w:trPr>
        <w:tc>
          <w:tcPr>
            <w:tcW w:w="7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.Total</w:t>
            </w: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center"/>
              <w:ind w:left="125"/>
              <w:spacing w:after="0"/>
              <w:rPr>
                <w:sz w:val="20"/>
                <w:szCs w:val="20"/>
                <w:color w:val="auto"/>
              </w:rPr>
            </w:pPr>
            <w:r>
              <w:rPr>
                <w:rFonts w:ascii="Times New Roman" w:cs="Times New Roman" w:eastAsia="Times New Roman" w:hAnsi="Times New Roman"/>
                <w:sz w:val="20"/>
                <w:szCs w:val="20"/>
                <w:color w:val="auto"/>
              </w:rPr>
              <w:t>71,336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center"/>
              <w:ind w:left="408"/>
              <w:spacing w:after="0"/>
              <w:rPr>
                <w:sz w:val="20"/>
                <w:szCs w:val="20"/>
                <w:color w:val="auto"/>
              </w:rPr>
            </w:pPr>
            <w:r>
              <w:rPr>
                <w:rFonts w:ascii="Times New Roman" w:cs="Times New Roman" w:eastAsia="Times New Roman" w:hAnsi="Times New Roman"/>
                <w:sz w:val="20"/>
                <w:szCs w:val="20"/>
                <w:color w:val="auto"/>
              </w:rPr>
              <w:t>68,505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2025, the full principal for the Barings Credit Facility of $82,474 was due for repayment in</w:t>
      </w:r>
    </w:p>
    <w:p>
      <w:pPr>
        <w:spacing w:after="0"/>
        <w:rPr>
          <w:sz w:val="20"/>
          <w:szCs w:val="20"/>
          <w:color w:val="auto"/>
        </w:rPr>
      </w:pPr>
      <w:r>
        <w:rPr>
          <w:rFonts w:ascii="Times New Roman" w:cs="Times New Roman" w:eastAsia="Times New Roman" w:hAnsi="Times New Roman"/>
          <w:sz w:val="20"/>
          <w:szCs w:val="20"/>
          <w:color w:val="auto"/>
        </w:rPr>
        <w:t>2029.</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On March 1, 2019, the Company issued $37,500 of convertible notes (as amended, the “Convertible Notes”).</w:t>
      </w:r>
    </w:p>
    <w:p>
      <w:pPr>
        <w:spacing w:after="0" w:line="23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On March 28, 2024, the Company issued 5,769,232 shares of its common stock with a total fair value of $52,500 to the holder of the Convertible Notes in connection with the conversion of the principal amount of the Convertible Notes (the “Conversion”) and paid the holder $11,361 for accrued interest. The extinguishment of obligations under the Convertible Notes and the resulting derecognition of the principal of the Convertible Notes ($37,500), the unamortized discount ($27,950), and the Conversion Option Derivative Liability ($15,000), resulted in a net loss of $27,950, which was charged to gains and losses on extinguishment of debt, net on the consolidated statements of operations and comprehensive loss for the year ended December 31, 2024.</w:t>
      </w:r>
    </w:p>
    <w:p>
      <w:pPr>
        <w:spacing w:after="0" w:line="201"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 xml:space="preserve">Concurrently with entering into the Barings Credit Agreement, on August 2, 2023, the Company and the holders of the Convertible Notes extended the maturity of the Convertible Notes, which would otherwise have matured on March 1, 2026, to a date 91 days following the maturity of the indebtedness under the Barings Credit Facility, unless earlier converted, repurchased or redeemed (the “Amendment”). The Company accounted for the Amendment as an extinguishment of debt in accordance with the guidance in Accounting Standards Codification Topic 470-50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xml:space="preserve"> (“ASC 470-50”) and derecognized all liabilities related to the Convertible Notes, including the outstanding principal less unamortized discount, a derivative liability, and accrued interest, with a total carrying value of $51,090 as of the date of the Amendment. The Company determined that, after the Amendment, the embedded conversion option continues to be required to be separated from the Convertible Notes and accounted for the embedded conversion option as a freestanding derivative instrument subject to derivative accounting (the “Conversion Option Derivative Liability”). The total fair value of the Convertible Notes on August 2, 2023 after the Amendment, including the conversion option, was $36,183. The Company recognized the Convertible Notes and the Conversion Option Derivative Liability after the Amendment at their fair values as of the date of the Amendment of $18,482 and $17,701, respectively. A portion of the fair value of the Convertible Notes as of the date of the Amendment of $9,943 was presented in accrued expenses and other current liabilities on the consolidated balance sheets as of December 31, 2023 because the Convertible Notes were convertible at that date, and this amount represented interest that was accrued before the Amendment and that would be payable in cash upon conversion. The allocation of a portion of the total fair value of the Convertible Notes to the Conversion Option Derivative Liability results in a discount on the Convertible Notes. Application of ASC 470-50 resulted in a gain on extinguishment of $14,907, which was charged to gains and losses on extinguishment of debt, net on the consolidated statements of operations and comprehensive loss for the year ended December 31, 2023.</w:t>
      </w:r>
    </w:p>
    <w:p>
      <w:pPr>
        <w:spacing w:after="0" w:line="203"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The holders of the Convertible Notes were entitled to convert all or part of the outstanding principal amount of their Convertible Notes into shares of the Company’s common stock, par value $0.0001 per share, prior to maturity based on certain terms and conditions. The Company determined that the embedded conversion option was required to be separated from the Convertible Notes and accounted for as a freestanding derivative instrument subject to derivative accounting. The allocation of proceeds to the conversion option results in a discount on the Convertible Notes. The Company amortized the discount to interest expense over the term of the Convertible Notes using the effective interest method.</w:t>
      </w:r>
    </w:p>
    <w:p>
      <w:pPr>
        <w:spacing w:after="0" w:line="199" w:lineRule="exact"/>
        <w:rPr>
          <w:sz w:val="20"/>
          <w:szCs w:val="20"/>
          <w:color w:val="auto"/>
        </w:rPr>
      </w:pPr>
    </w:p>
    <w:p>
      <w:pPr>
        <w:ind w:right="200" w:firstLine="490"/>
        <w:spacing w:after="0" w:line="280" w:lineRule="auto"/>
        <w:rPr>
          <w:sz w:val="20"/>
          <w:szCs w:val="20"/>
          <w:color w:val="auto"/>
        </w:rPr>
      </w:pPr>
      <w:r>
        <w:rPr>
          <w:rFonts w:ascii="Times New Roman" w:cs="Times New Roman" w:eastAsia="Times New Roman" w:hAnsi="Times New Roman"/>
          <w:sz w:val="20"/>
          <w:szCs w:val="20"/>
          <w:color w:val="auto"/>
        </w:rPr>
        <w:t>The Company presented accrued interest in accrued current liabilities because the notes were convertible and the interest was payable in cash.</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9720"/>
          </w:cols>
          <w:pgMar w:left="1080" w:top="1064" w:right="1080" w:bottom="0" w:gutter="0" w:footer="0" w:header="0"/>
          <w:type w:val="continuous"/>
        </w:sectPr>
      </w:pPr>
    </w:p>
    <w:bookmarkStart w:id="166" w:name="page167"/>
    <w:bookmarkEnd w:id="166"/>
    <w:p>
      <w:pPr>
        <w:ind w:left="500"/>
        <w:spacing w:after="0"/>
        <w:rPr>
          <w:sz w:val="20"/>
          <w:szCs w:val="20"/>
          <w:color w:val="auto"/>
        </w:rPr>
      </w:pPr>
      <w:r>
        <w:rPr>
          <w:rFonts w:ascii="Times New Roman" w:cs="Times New Roman" w:eastAsia="Times New Roman" w:hAnsi="Times New Roman"/>
          <w:sz w:val="20"/>
          <w:szCs w:val="20"/>
          <w:color w:val="auto"/>
        </w:rPr>
        <w:t>Interest recognized with regard to the Convertible Notes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0" w:type="dxa"/>
            <w:vAlign w:val="bottom"/>
          </w:tcPr>
          <w:p>
            <w:pPr>
              <w:spacing w:after="0"/>
              <w:rPr>
                <w:sz w:val="1"/>
                <w:szCs w:val="1"/>
                <w:color w:val="auto"/>
              </w:rPr>
            </w:pPr>
          </w:p>
        </w:tc>
      </w:tr>
      <w:tr>
        <w:trPr>
          <w:trHeight w:val="174"/>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Coupon Interest . . . . . . . . . . . . . . . . . . . . . . . . . . . . . . . . . . . . . . . . . . . . . . . . . . . . . . . . . . . . . . . . .</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4"/>
        </w:trPr>
        <w:tc>
          <w:tcPr>
            <w:tcW w:w="7860" w:type="dxa"/>
            <w:vAlign w:val="bottom"/>
            <w:gridSpan w:val="2"/>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2,130</w:t>
            </w:r>
          </w:p>
        </w:tc>
        <w:tc>
          <w:tcPr>
            <w:tcW w:w="0" w:type="dxa"/>
            <w:vAlign w:val="bottom"/>
          </w:tcPr>
          <w:p>
            <w:pPr>
              <w:spacing w:after="0"/>
              <w:rPr>
                <w:sz w:val="1"/>
                <w:szCs w:val="1"/>
                <w:color w:val="auto"/>
              </w:rPr>
            </w:pPr>
          </w:p>
        </w:tc>
      </w:tr>
      <w:tr>
        <w:trPr>
          <w:trHeight w:val="252"/>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discount . . . . . . . . . . . . . . . . . . . . . . . . . . . . . . . . . . . . . . . . . . . . . . . . . . . . . . . . .</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2,042</w:t>
            </w:r>
          </w:p>
        </w:tc>
        <w:tc>
          <w:tcPr>
            <w:tcW w:w="0" w:type="dxa"/>
            <w:vAlign w:val="bottom"/>
          </w:tcPr>
          <w:p>
            <w:pPr>
              <w:spacing w:after="0"/>
              <w:rPr>
                <w:sz w:val="1"/>
                <w:szCs w:val="1"/>
                <w:color w:val="auto"/>
              </w:rPr>
            </w:pPr>
          </w:p>
        </w:tc>
      </w:tr>
      <w:tr>
        <w:trPr>
          <w:trHeight w:val="253"/>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4,172</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Payable</w:t>
      </w:r>
    </w:p>
    <w:p>
      <w:pPr>
        <w:spacing w:after="0" w:line="242" w:lineRule="exact"/>
        <w:rPr>
          <w:sz w:val="20"/>
          <w:szCs w:val="20"/>
          <w:color w:val="auto"/>
        </w:rPr>
      </w:pPr>
    </w:p>
    <w:p>
      <w:pPr>
        <w:ind w:right="40" w:firstLine="490"/>
        <w:spacing w:after="0" w:line="250" w:lineRule="auto"/>
        <w:rPr>
          <w:sz w:val="20"/>
          <w:szCs w:val="20"/>
          <w:color w:val="auto"/>
        </w:rPr>
      </w:pPr>
      <w:r>
        <w:rPr>
          <w:rFonts w:ascii="Times New Roman" w:cs="Times New Roman" w:eastAsia="Times New Roman" w:hAnsi="Times New Roman"/>
          <w:sz w:val="20"/>
          <w:szCs w:val="20"/>
          <w:color w:val="auto"/>
        </w:rPr>
        <w:t>The Company entered into a credit and security agreement in 2014 (as amended, the “MidCap Credit Agreement”) establishing a credit facility (as amended, the “MidCap Credit Facility”). The Company satisfied its obligations under the MidCap Credit Agreement in August 2023, as discussed below. In connection with its satisfaction of its obligations, the Company extinguished the MidCap Credit Facility, and all liens and security interests securing the indebtedness under the MidCap Credit Agreement were released.</w:t>
      </w:r>
    </w:p>
    <w:p>
      <w:pPr>
        <w:spacing w:after="0" w:line="192" w:lineRule="exact"/>
        <w:rPr>
          <w:sz w:val="20"/>
          <w:szCs w:val="20"/>
          <w:color w:val="auto"/>
        </w:rPr>
      </w:pPr>
    </w:p>
    <w:p>
      <w:pPr>
        <w:ind w:right="360" w:firstLine="490"/>
        <w:spacing w:after="0"/>
        <w:rPr>
          <w:sz w:val="20"/>
          <w:szCs w:val="20"/>
          <w:color w:val="auto"/>
        </w:rPr>
      </w:pPr>
      <w:r>
        <w:rPr>
          <w:rFonts w:ascii="Times New Roman" w:cs="Times New Roman" w:eastAsia="Times New Roman" w:hAnsi="Times New Roman"/>
          <w:sz w:val="20"/>
          <w:szCs w:val="20"/>
          <w:color w:val="auto"/>
        </w:rPr>
        <w:t>In June 2021, the Company entered into a Fourth Amended and Restated Credit and Security Agreement (the “Fourth Amendment”) to amend the terms of its debt with existing lenders for total indebtedness of $ 20,833 and borrowed an incremental $4,167, for a total of $25,000. Under the Fourth Amendment, the Company was required to make interest-only payments through April 2024. Commencing in May 2024, the Company was required to</w:t>
      </w:r>
    </w:p>
    <w:p>
      <w:pPr>
        <w:spacing w:after="0" w:line="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make 19 equal monthly installments of principal in the amount of $1,042, plus interest, then on the maturity date, November 30, 2025 the remaining balance of $5,208 plus the exit fee, as defined below. Amounts borrowed under the MidCap Credit Facility based on the Fourth Amendment were initially at LIBOR base rate, subject to 1.00% floor, plus 6.75%. In addition, a final payment (exit fee) equal to 3.5% of amounts drawn under the MidCap Credit Facility, or $875 based on borrowings of $25,000, was due upon the maturity date of November 30, 2025. The Company had accrued the exit fee through November 30, 2025. The Company accounted for the Fourth Amendment as a modification in accordance with the guidance in ASC 470-50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Amounts paid to the lenders were recorded as debt discount and a new effective interest rate was established.</w:t>
      </w:r>
    </w:p>
    <w:p>
      <w:pPr>
        <w:spacing w:after="0" w:line="202" w:lineRule="exact"/>
        <w:rPr>
          <w:sz w:val="20"/>
          <w:szCs w:val="20"/>
          <w:color w:val="auto"/>
        </w:rPr>
      </w:pPr>
    </w:p>
    <w:p>
      <w:pPr>
        <w:ind w:right="480" w:firstLine="490"/>
        <w:spacing w:after="0" w:line="253" w:lineRule="auto"/>
        <w:rPr>
          <w:sz w:val="20"/>
          <w:szCs w:val="20"/>
          <w:color w:val="auto"/>
        </w:rPr>
      </w:pPr>
      <w:r>
        <w:rPr>
          <w:rFonts w:ascii="Times New Roman" w:cs="Times New Roman" w:eastAsia="Times New Roman" w:hAnsi="Times New Roman"/>
          <w:sz w:val="20"/>
          <w:szCs w:val="20"/>
          <w:color w:val="auto"/>
        </w:rPr>
        <w:t>On March 12, 2023, the Company requested, and received, a protective advance of $2,000 under the MidCap Credit Agreement as a short-term bridge loan in response to the closure of Silicon Valley Bank by the California Department of Financial Protection and Innovation. This protective advance was deemed a credit extension. The Company repaid the full principal amount of $2,000 in March 2023.</w:t>
      </w:r>
    </w:p>
    <w:p>
      <w:pPr>
        <w:spacing w:after="0" w:line="190"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auto"/>
        </w:rPr>
        <w:t xml:space="preserve">On March 31, 2023, the Company entered into Amendment No. 1 to the MidCap Credit Agreement (“Amendment No. 1”) to replace the LIBOR-based interest rate provisions of the MidCap Credit Agreement with interest rate provisions based on SOFR, establish a benchmark replacement mechanism and make additional administrative updates. The Company accounted for Amendment No. 1 as a modification in accordance with the guidance in ASC 470-50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Application of the modification accounting guidance did not have a material effect on the carrying amount of the long-term notes payable.</w:t>
      </w:r>
    </w:p>
    <w:p>
      <w:pPr>
        <w:spacing w:after="0" w:line="194" w:lineRule="exact"/>
        <w:rPr>
          <w:sz w:val="20"/>
          <w:szCs w:val="20"/>
          <w:color w:val="auto"/>
        </w:rPr>
      </w:pPr>
    </w:p>
    <w:p>
      <w:pPr>
        <w:ind w:right="320" w:firstLine="489"/>
        <w:spacing w:after="0" w:line="253" w:lineRule="auto"/>
        <w:rPr>
          <w:sz w:val="20"/>
          <w:szCs w:val="20"/>
          <w:color w:val="auto"/>
        </w:rPr>
      </w:pPr>
      <w:r>
        <w:rPr>
          <w:rFonts w:ascii="Times New Roman" w:cs="Times New Roman" w:eastAsia="Times New Roman" w:hAnsi="Times New Roman"/>
          <w:sz w:val="20"/>
          <w:szCs w:val="20"/>
          <w:color w:val="auto"/>
        </w:rPr>
        <w:t>On May 4, 2023, the Company entered into Amendment No. 2 to the MidCap Credit Agreement (“Amendment No. 2”). Amendment No. 2 provided that the Company may maintain up to 50% of its consolidated cash and cash equivalents with banks or financial institutions other than Silicon Valley Bank and made additional administrative updates.</w:t>
      </w:r>
    </w:p>
    <w:p>
      <w:pPr>
        <w:spacing w:after="0" w:line="191" w:lineRule="exact"/>
        <w:rPr>
          <w:sz w:val="20"/>
          <w:szCs w:val="20"/>
          <w:color w:val="auto"/>
        </w:rPr>
      </w:pPr>
    </w:p>
    <w:p>
      <w:pPr>
        <w:ind w:right="20" w:firstLine="489"/>
        <w:spacing w:after="0" w:line="246" w:lineRule="auto"/>
        <w:rPr>
          <w:sz w:val="20"/>
          <w:szCs w:val="20"/>
          <w:color w:val="auto"/>
        </w:rPr>
      </w:pPr>
      <w:r>
        <w:rPr>
          <w:rFonts w:ascii="Times New Roman" w:cs="Times New Roman" w:eastAsia="Times New Roman" w:hAnsi="Times New Roman"/>
          <w:sz w:val="20"/>
          <w:szCs w:val="20"/>
          <w:color w:val="auto"/>
        </w:rPr>
        <w:t>In August 2023, in connection with the Company’s establishment of the Barings Credit Facility, the Company paid an aggregate of $26,157 to MidCap Financial Trust and the other lenders party to the MidCap Credit Agreement, comprised of $25,017 in principal and interest accrued thereunder and $1,140 in exit and prepayment fees, in satisfaction of the Company’s obligations under the MidCap Credit Agreement. In connection with the payment, all liens and security interests securing the indebtedness under the MidCap Credit Agreement were released. The extinguishment of the MidCap Credit Facility has resulted in a loss of $717, which was charged to gains and losses on extinguishment of debt, net on the consolidated statements of operations and comprehensive loss for the year ended December 31, 2023.</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9720"/>
          </w:cols>
          <w:pgMar w:left="1080" w:top="1064" w:right="1080" w:bottom="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b w:val="1"/>
          <w:bCs w:val="1"/>
          <w:color w:val="auto"/>
        </w:rPr>
        <w:t>10. Derivatives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Barings Credit Agreement</w:t>
      </w:r>
    </w:p>
    <w:p>
      <w:pPr>
        <w:spacing w:after="0" w:line="24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 xml:space="preserve">The Barings Credit Agreement (Note 9) contains an embedded Royalty Fee Obligation that meets the criteria to be bifurcated and accounted for separately from the Barings Credit Facility (the "Royalty Fee Derivative Liability"). The Royalty Fee Derivative Liability was recorded at fair value upon the entering into the Barings Credit Facility and is subsequently remeasured to fair value at each reporting period. The Royalty Fee Derivative Liability was initially valued and is remeasured using a “with-and-without” method. The “with-and-without” methodology involves valuing the whole instrument on an as-is basis with the embedded Royalty Fee Obligation and then valuing the instrument without the embedded Royalty Fee Obligation. Royalty payments are estimated using a Monte Carlo simulation. Refer to Note 11 </w:t>
      </w:r>
      <w:r>
        <w:rPr>
          <w:rFonts w:ascii="Times New Roman" w:cs="Times New Roman" w:eastAsia="Times New Roman" w:hAnsi="Times New Roman"/>
          <w:sz w:val="20"/>
          <w:szCs w:val="20"/>
          <w:i w:val="1"/>
          <w:iCs w:val="1"/>
          <w:color w:val="auto"/>
        </w:rPr>
        <w:t xml:space="preserve">Risks and Fair Value </w:t>
      </w:r>
      <w:r>
        <w:rPr>
          <w:rFonts w:ascii="Times New Roman" w:cs="Times New Roman" w:eastAsia="Times New Roman" w:hAnsi="Times New Roman"/>
          <w:sz w:val="20"/>
          <w:szCs w:val="20"/>
          <w:color w:val="auto"/>
        </w:rPr>
        <w:t>for details regarding the determination of fair value.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roll-forward of the Royalty Fee Derivative Liability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0"/>
        </w:trPr>
        <w:tc>
          <w:tcPr>
            <w:tcW w:w="828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32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13,246</w:t>
            </w:r>
          </w:p>
        </w:tc>
        <w:tc>
          <w:tcPr>
            <w:tcW w:w="0" w:type="dxa"/>
            <w:vAlign w:val="bottom"/>
          </w:tcPr>
          <w:p>
            <w:pPr>
              <w:spacing w:after="0"/>
              <w:rPr>
                <w:sz w:val="1"/>
                <w:szCs w:val="1"/>
                <w:color w:val="auto"/>
              </w:rPr>
            </w:pPr>
          </w:p>
        </w:tc>
      </w:tr>
      <w:tr>
        <w:trPr>
          <w:trHeight w:val="241"/>
        </w:trPr>
        <w:tc>
          <w:tcPr>
            <w:tcW w:w="82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Change in fair value . . . . . . . . . . . . . . . . . . . . . . . . . . . . . . . . . . . . . . . . . . . . . . . . . . . . . . . . . . . . . . .</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0" w:type="dxa"/>
            <w:vAlign w:val="bottom"/>
          </w:tcPr>
          <w:p>
            <w:pPr>
              <w:spacing w:after="0"/>
              <w:rPr>
                <w:sz w:val="1"/>
                <w:szCs w:val="1"/>
                <w:color w:val="auto"/>
              </w:rPr>
            </w:pPr>
          </w:p>
        </w:tc>
      </w:tr>
      <w:tr>
        <w:trPr>
          <w:trHeight w:val="242"/>
        </w:trPr>
        <w:tc>
          <w:tcPr>
            <w:tcW w:w="82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Balance at December 31, 2025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13,903</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Notes</w:t>
      </w:r>
    </w:p>
    <w:p>
      <w:pPr>
        <w:spacing w:after="0" w:line="24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 xml:space="preserve">The Convertible Notes (Note 9), which were extinguished in March 2024, contained the Conversion Option Derivative Liability, an embedded conversion option that met the criteria to be bifurcated and accounted for separately from the Convertible Notes. The Conversion Option Derivative Liability was recorded at fair value upon the issuance of the Convertible Notes and was subsequently remeasured to fair value at each reporting period. The Conversion Option Derivative Liability was initially valued and subsequently remeasured using a “with-and-without” method. The “with-and-without” methodology involved valuing the whole instrument on an as-is basis with the embedded conversion option and then valuing the instrument without the embedded conversion option. The difference between the entire instrument with the embedded conversion option compared to the instrument without the embedded conversion option was the fair value of the derivative, recorded as the Conversion Option Derivative Liability. Refer to Note 11 </w:t>
      </w:r>
      <w:r>
        <w:rPr>
          <w:rFonts w:ascii="Times New Roman" w:cs="Times New Roman" w:eastAsia="Times New Roman" w:hAnsi="Times New Roman"/>
          <w:sz w:val="20"/>
          <w:szCs w:val="20"/>
          <w:i w:val="1"/>
          <w:iCs w:val="1"/>
          <w:color w:val="auto"/>
        </w:rPr>
        <w:t>Risks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Fair Value </w:t>
      </w:r>
      <w:r>
        <w:rPr>
          <w:rFonts w:ascii="Times New Roman" w:cs="Times New Roman" w:eastAsia="Times New Roman" w:hAnsi="Times New Roman"/>
          <w:sz w:val="20"/>
          <w:szCs w:val="20"/>
          <w:color w:val="auto"/>
        </w:rPr>
        <w:t>for details regarding the determination of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Risks and Fair Value</w:t>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of Significant Suppliers and Customers</w:t>
      </w:r>
    </w:p>
    <w:p>
      <w:pPr>
        <w:spacing w:after="0" w:line="23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Financial instruments that potentially expose the Company to concentrations of credit risk consist primarily of cash and cash equivalents and accounts receivable. The Company has its cash and cash equivalents balances at three accredited financial institutions, in amounts that exceed federally insured limits. The Company does not believe that it is subject to unusual credit risk beyond the normal credit risk associated with commercial banking relationships.</w:t>
      </w:r>
    </w:p>
    <w:p>
      <w:pPr>
        <w:spacing w:after="0" w:line="191"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The Company is dependent on a small number of third-party manufacturers to supply products for research and development activities in its preclinical and clinical programs and for sales of its products. The Company’s development programs as well as revenue from future product sales could be adversely affected by a significant interruption in the supply of any of the components of these products.</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Three specialty distributor customers accounted for the following percentages of the Company’s total revenue: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00" w:type="dxa"/>
            <w:vAlign w:val="bottom"/>
            <w:vMerge w:val="restart"/>
          </w:tcPr>
          <w:p>
            <w:pPr>
              <w:jc w:val="right"/>
              <w:ind w:right="5360"/>
              <w:spacing w:after="0"/>
              <w:rPr>
                <w:sz w:val="20"/>
                <w:szCs w:val="20"/>
                <w:color w:val="auto"/>
              </w:rPr>
            </w:pPr>
            <w:r>
              <w:rPr>
                <w:rFonts w:ascii="Times New Roman" w:cs="Times New Roman" w:eastAsia="Times New Roman" w:hAnsi="Times New Roman"/>
                <w:sz w:val="20"/>
                <w:szCs w:val="20"/>
                <w:color w:val="auto"/>
                <w:w w:val="99"/>
              </w:rPr>
              <w:t>Customer 1</w:t>
            </w:r>
          </w:p>
        </w:tc>
        <w:tc>
          <w:tcPr>
            <w:tcW w:w="6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860" w:type="dxa"/>
            <w:vAlign w:val="bottom"/>
            <w:tcBorders>
              <w:bottom w:val="single" w:sz="8" w:color="auto"/>
            </w:tcBorders>
          </w:tcPr>
          <w:p>
            <w:pPr>
              <w:jc w:val="right"/>
              <w:ind w:right="165"/>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83"/>
              </w:rPr>
              <w:t>%</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5"/>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02"/>
        </w:trPr>
        <w:tc>
          <w:tcPr>
            <w:tcW w:w="6400" w:type="dxa"/>
            <w:vAlign w:val="bottom"/>
            <w:vMerge w:val="continue"/>
          </w:tcPr>
          <w:p>
            <w:pPr>
              <w:jc w:val="right"/>
              <w:ind w:right="120"/>
              <w:spacing w:after="0" w:line="180"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60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42</w:t>
            </w:r>
          </w:p>
        </w:tc>
        <w:tc>
          <w:tcPr>
            <w:tcW w:w="26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44</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49</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0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w w:val="96"/>
              </w:rPr>
              <w:t>Customer 2. . . . . . . . . . . . . . . . . . . . . . . . . . . . . . . . . . . . . . . . . . . . . . . . .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00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w w:val="96"/>
              </w:rPr>
              <w:t>Customer 3. . . . . . . . . . . . . . . . . . . . . . . . . . . . . . . . . . . . . . . . . . . . . . . . .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9720"/>
          </w:cols>
          <w:pgMar w:left="1080" w:top="1062" w:right="1080" w:bottom="0" w:gutter="0" w:footer="0" w:header="0"/>
          <w:type w:val="continuous"/>
        </w:sectPr>
      </w:pPr>
    </w:p>
    <w:bookmarkStart w:id="168" w:name="page169"/>
    <w:bookmarkEnd w:id="168"/>
    <w:p>
      <w:pPr>
        <w:ind w:right="760" w:firstLine="489"/>
        <w:spacing w:after="0" w:line="280" w:lineRule="auto"/>
        <w:rPr>
          <w:sz w:val="20"/>
          <w:szCs w:val="20"/>
          <w:color w:val="auto"/>
        </w:rPr>
      </w:pPr>
      <w:r>
        <w:rPr>
          <w:rFonts w:ascii="Times New Roman" w:cs="Times New Roman" w:eastAsia="Times New Roman" w:hAnsi="Times New Roman"/>
          <w:sz w:val="20"/>
          <w:szCs w:val="20"/>
          <w:color w:val="auto"/>
        </w:rPr>
        <w:t>Three specialty distributor customers accounted for the following percentages of the Company’s accounts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250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200" w:type="dxa"/>
            <w:vAlign w:val="bottom"/>
            <w:vMerge w:val="restart"/>
          </w:tcPr>
          <w:p>
            <w:pPr>
              <w:jc w:val="right"/>
              <w:ind w:right="6160"/>
              <w:spacing w:after="0"/>
              <w:rPr>
                <w:sz w:val="20"/>
                <w:szCs w:val="20"/>
                <w:color w:val="auto"/>
              </w:rPr>
            </w:pPr>
            <w:r>
              <w:rPr>
                <w:rFonts w:ascii="Times New Roman" w:cs="Times New Roman" w:eastAsia="Times New Roman" w:hAnsi="Times New Roman"/>
                <w:sz w:val="20"/>
                <w:szCs w:val="20"/>
                <w:color w:val="auto"/>
                <w:w w:val="99"/>
              </w:rPr>
              <w:t>Customer 1</w:t>
            </w: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0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7200" w:type="dxa"/>
            <w:vAlign w:val="bottom"/>
            <w:vMerge w:val="continue"/>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47</w:t>
            </w:r>
          </w:p>
        </w:tc>
        <w:tc>
          <w:tcPr>
            <w:tcW w:w="260" w:type="dxa"/>
            <w:vAlign w:val="bottom"/>
            <w:vMerge w:val="continue"/>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46</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Customer 2. . . . . . . . . .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2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Customer 3. . . . . . . . . .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Derivative Liabilities</w:t>
      </w:r>
    </w:p>
    <w:p>
      <w:pPr>
        <w:spacing w:after="0" w:line="238" w:lineRule="exact"/>
        <w:rPr>
          <w:sz w:val="20"/>
          <w:szCs w:val="20"/>
          <w:color w:val="auto"/>
        </w:rPr>
      </w:pPr>
    </w:p>
    <w:p>
      <w:pPr>
        <w:ind w:right="80" w:firstLine="490"/>
        <w:spacing w:after="0" w:line="280" w:lineRule="auto"/>
        <w:rPr>
          <w:sz w:val="20"/>
          <w:szCs w:val="20"/>
          <w:color w:val="auto"/>
        </w:rPr>
      </w:pPr>
      <w:r>
        <w:rPr>
          <w:rFonts w:ascii="Times New Roman" w:cs="Times New Roman" w:eastAsia="Times New Roman" w:hAnsi="Times New Roman"/>
          <w:sz w:val="20"/>
          <w:szCs w:val="20"/>
          <w:color w:val="auto"/>
        </w:rPr>
        <w:t>Other income (expenses) from the change in the fair values of derivative liabilities as presented on the Company’s consolidated statements of operations and comprehensive loss includes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Change in the fair value of the Conversion Option Derivative Liability</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7"/>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4"/>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4"/>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220" w:type="dxa"/>
            <w:vAlign w:val="bottom"/>
            <w:gridSpan w:val="2"/>
            <w:vMerge w:val="continue"/>
          </w:tcPr>
          <w:p>
            <w:pPr>
              <w:jc w:val="right"/>
              <w:ind w:right="220"/>
              <w:spacing w:after="0" w:line="180" w:lineRule="exact"/>
              <w:rPr>
                <w:sz w:val="20"/>
                <w:szCs w:val="20"/>
                <w:color w:val="auto"/>
              </w:rPr>
            </w:pPr>
            <w:r>
              <w:rPr>
                <w:rFonts w:ascii="Times New Roman" w:cs="Times New Roman" w:eastAsia="Times New Roman" w:hAnsi="Times New Roman"/>
                <w:sz w:val="20"/>
                <w:szCs w:val="20"/>
                <w:color w:val="auto"/>
              </w:rPr>
              <w:t>. . . .</w:t>
            </w:r>
          </w:p>
        </w:tc>
        <w:tc>
          <w:tcPr>
            <w:tcW w:w="240" w:type="dxa"/>
            <w:vAlign w:val="bottom"/>
          </w:tcPr>
          <w:p>
            <w:pPr>
              <w:jc w:val="right"/>
              <w:ind w:right="40"/>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2,598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(4,502)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Change in the fair value of Royalty Fee Derivative Liability . . . . . . . . . . . .</w:t>
            </w:r>
          </w:p>
        </w:tc>
        <w:tc>
          <w:tcPr>
            <w:tcW w:w="2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(857)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Barings Royalty Fee . . . . . . . . . . . . . . . . . . . . . . . . . . . . . . . . . . . . . . . . . . . . .</w:t>
            </w:r>
          </w:p>
        </w:tc>
        <w:tc>
          <w:tcPr>
            <w:tcW w:w="2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(2,221)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(901)</w:t>
            </w:r>
          </w:p>
        </w:tc>
        <w:tc>
          <w:tcPr>
            <w:tcW w:w="0" w:type="dxa"/>
            <w:vAlign w:val="bottom"/>
          </w:tcPr>
          <w:p>
            <w:pPr>
              <w:spacing w:after="0"/>
              <w:rPr>
                <w:sz w:val="1"/>
                <w:szCs w:val="1"/>
                <w:color w:val="auto"/>
              </w:rPr>
            </w:pPr>
          </w:p>
        </w:tc>
      </w:tr>
      <w:tr>
        <w:trPr>
          <w:trHeight w:val="241"/>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6"/>
              </w:rPr>
              <w:t>Total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(2,471)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Assets and Liabilities</w:t>
      </w:r>
    </w:p>
    <w:p>
      <w:pPr>
        <w:spacing w:after="0" w:line="238"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and liabilities that are measured at fair value on a recurring basis as of December 31, 2025 and 2024 and indicate the level of the fair value hierarchy utilized to determine such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12"/>
          </w:tcPr>
          <w:p>
            <w:pPr>
              <w:jc w:val="center"/>
              <w:ind w:left="53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 Using:</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tcPr>
          <w:p>
            <w:pPr>
              <w:spacing w:after="0"/>
              <w:rPr>
                <w:sz w:val="15"/>
                <w:szCs w:val="15"/>
                <w:color w:val="auto"/>
              </w:rPr>
            </w:pPr>
          </w:p>
        </w:tc>
        <w:tc>
          <w:tcPr>
            <w:tcW w:w="740" w:type="dxa"/>
            <w:vAlign w:val="bottom"/>
          </w:tcPr>
          <w:p>
            <w:pPr>
              <w:jc w:val="right"/>
              <w:ind w:right="90"/>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5"/>
                <w:szCs w:val="15"/>
                <w:color w:val="auto"/>
              </w:rPr>
            </w:pPr>
          </w:p>
        </w:tc>
        <w:tc>
          <w:tcPr>
            <w:tcW w:w="740" w:type="dxa"/>
            <w:vAlign w:val="bottom"/>
          </w:tcPr>
          <w:p>
            <w:pPr>
              <w:jc w:val="right"/>
              <w:ind w:right="167"/>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610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Cash equivalents: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Money market funds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722,002</w:t>
            </w:r>
          </w:p>
        </w:tc>
        <w:tc>
          <w:tcPr>
            <w:tcW w:w="160" w:type="dxa"/>
            <w:vAlign w:val="bottom"/>
            <w:gridSpan w:val="2"/>
          </w:tcPr>
          <w:p>
            <w:pPr>
              <w:spacing w:after="0"/>
              <w:rPr>
                <w:sz w:val="21"/>
                <w:szCs w:val="21"/>
                <w:color w:val="auto"/>
              </w:rPr>
            </w:pP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722,002</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Liability:</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100" w:type="dxa"/>
            <w:vAlign w:val="bottom"/>
            <w:gridSpan w:val="2"/>
            <w:vMerge w:val="continue"/>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13,903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13,903</w:t>
            </w:r>
          </w:p>
        </w:tc>
        <w:tc>
          <w:tcPr>
            <w:tcW w:w="0" w:type="dxa"/>
            <w:vAlign w:val="bottom"/>
          </w:tcPr>
          <w:p>
            <w:pPr>
              <w:spacing w:after="0"/>
              <w:rPr>
                <w:sz w:val="1"/>
                <w:szCs w:val="1"/>
                <w:color w:val="auto"/>
              </w:rPr>
            </w:pPr>
          </w:p>
        </w:tc>
      </w:tr>
      <w:tr>
        <w:trPr>
          <w:trHeight w:val="252"/>
        </w:trPr>
        <w:tc>
          <w:tcPr>
            <w:tcW w:w="60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Derivative liability. . . . . . . . . . . . . . . . . . . . . . . . . . . . . .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vMerge w:val="continue"/>
          </w:tcPr>
          <w:p>
            <w:pPr>
              <w:spacing w:after="0"/>
              <w:rPr>
                <w:sz w:val="21"/>
                <w:szCs w:val="21"/>
                <w:color w:val="auto"/>
              </w:rPr>
            </w:pPr>
          </w:p>
        </w:tc>
        <w:tc>
          <w:tcPr>
            <w:tcW w:w="120" w:type="dxa"/>
            <w:vAlign w:val="bottom"/>
            <w:tcBorders>
              <w:bottom w:val="single" w:sz="8" w:color="auto"/>
            </w:tcBorders>
            <w:gridSpan w:val="2"/>
            <w:vMerge w:val="continue"/>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12"/>
          </w:tcPr>
          <w:p>
            <w:pPr>
              <w:jc w:val="center"/>
              <w:ind w:left="53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 Using:</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tcPr>
          <w:p>
            <w:pPr>
              <w:spacing w:after="0"/>
              <w:rPr>
                <w:sz w:val="15"/>
                <w:szCs w:val="15"/>
                <w:color w:val="auto"/>
              </w:rPr>
            </w:pPr>
          </w:p>
        </w:tc>
        <w:tc>
          <w:tcPr>
            <w:tcW w:w="740" w:type="dxa"/>
            <w:vAlign w:val="bottom"/>
          </w:tcPr>
          <w:p>
            <w:pPr>
              <w:jc w:val="right"/>
              <w:ind w:right="90"/>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5"/>
                <w:szCs w:val="15"/>
                <w:color w:val="auto"/>
              </w:rPr>
            </w:pPr>
          </w:p>
        </w:tc>
        <w:tc>
          <w:tcPr>
            <w:tcW w:w="740" w:type="dxa"/>
            <w:vAlign w:val="bottom"/>
          </w:tcPr>
          <w:p>
            <w:pPr>
              <w:jc w:val="right"/>
              <w:ind w:right="167"/>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610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Cash equivalents: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Money market funds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378,112</w:t>
            </w:r>
          </w:p>
        </w:tc>
        <w:tc>
          <w:tcPr>
            <w:tcW w:w="160" w:type="dxa"/>
            <w:vAlign w:val="bottom"/>
            <w:gridSpan w:val="2"/>
          </w:tcPr>
          <w:p>
            <w:pPr>
              <w:spacing w:after="0"/>
              <w:rPr>
                <w:sz w:val="21"/>
                <w:szCs w:val="21"/>
                <w:color w:val="auto"/>
              </w:rPr>
            </w:pP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378,112</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Liability:</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6100" w:type="dxa"/>
            <w:vAlign w:val="bottom"/>
            <w:gridSpan w:val="2"/>
            <w:vMerge w:val="continue"/>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vMerge w:val="restart"/>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13,246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13,246</w:t>
            </w:r>
          </w:p>
        </w:tc>
        <w:tc>
          <w:tcPr>
            <w:tcW w:w="0" w:type="dxa"/>
            <w:vAlign w:val="bottom"/>
          </w:tcPr>
          <w:p>
            <w:pPr>
              <w:spacing w:after="0"/>
              <w:rPr>
                <w:sz w:val="1"/>
                <w:szCs w:val="1"/>
                <w:color w:val="auto"/>
              </w:rPr>
            </w:pPr>
          </w:p>
        </w:tc>
      </w:tr>
      <w:tr>
        <w:trPr>
          <w:trHeight w:val="252"/>
        </w:trPr>
        <w:tc>
          <w:tcPr>
            <w:tcW w:w="60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Derivative liability. . . . . . . . . . . . . . . . . . . . . . . . . . . . . .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vMerge w:val="continue"/>
          </w:tcPr>
          <w:p>
            <w:pPr>
              <w:spacing w:after="0"/>
              <w:rPr>
                <w:sz w:val="21"/>
                <w:szCs w:val="21"/>
                <w:color w:val="auto"/>
              </w:rPr>
            </w:pPr>
          </w:p>
        </w:tc>
        <w:tc>
          <w:tcPr>
            <w:tcW w:w="120" w:type="dxa"/>
            <w:vAlign w:val="bottom"/>
            <w:tcBorders>
              <w:bottom w:val="single" w:sz="8" w:color="auto"/>
            </w:tcBorders>
            <w:gridSpan w:val="2"/>
            <w:vMerge w:val="continue"/>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460" w:firstLine="489"/>
        <w:spacing w:after="0" w:line="280" w:lineRule="auto"/>
        <w:rPr>
          <w:sz w:val="20"/>
          <w:szCs w:val="20"/>
          <w:color w:val="auto"/>
        </w:rPr>
      </w:pPr>
      <w:r>
        <w:rPr>
          <w:rFonts w:ascii="Times New Roman" w:cs="Times New Roman" w:eastAsia="Times New Roman" w:hAnsi="Times New Roman"/>
          <w:sz w:val="20"/>
          <w:szCs w:val="20"/>
          <w:color w:val="auto"/>
        </w:rPr>
        <w:t>During the years ended December 31, 2025 and 2024, there were no transfers between levels of the fair value hierarchy.</w:t>
      </w:r>
    </w:p>
    <w:p>
      <w:pPr>
        <w:spacing w:after="0" w:line="163" w:lineRule="exact"/>
        <w:rPr>
          <w:sz w:val="20"/>
          <w:szCs w:val="20"/>
          <w:color w:val="auto"/>
        </w:rPr>
      </w:pPr>
    </w:p>
    <w:p>
      <w:pPr>
        <w:ind w:right="660" w:firstLine="490"/>
        <w:spacing w:after="0" w:line="280" w:lineRule="auto"/>
        <w:rPr>
          <w:sz w:val="20"/>
          <w:szCs w:val="20"/>
          <w:color w:val="auto"/>
        </w:rPr>
      </w:pPr>
      <w:r>
        <w:rPr>
          <w:rFonts w:ascii="Times New Roman" w:cs="Times New Roman" w:eastAsia="Times New Roman" w:hAnsi="Times New Roman"/>
          <w:sz w:val="20"/>
          <w:szCs w:val="20"/>
          <w:color w:val="auto"/>
        </w:rPr>
        <w:t>The carrying value of accounts receivable, prepaid expenses and other current assets, accounts payable and accrued expenses approximate their fair value due to the short-term nature of these assets and liabilities.</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9720"/>
          </w:cols>
          <w:pgMar w:left="1080" w:top="1064" w:right="1080" w:bottom="0" w:gutter="0" w:footer="0" w:header="0"/>
          <w:type w:val="continuous"/>
        </w:sectPr>
      </w:pPr>
    </w:p>
    <w:bookmarkStart w:id="169" w:name="page170"/>
    <w:bookmarkEnd w:id="169"/>
    <w:p>
      <w:pPr>
        <w:ind w:left="500"/>
        <w:spacing w:after="0"/>
        <w:rPr>
          <w:sz w:val="20"/>
          <w:szCs w:val="20"/>
          <w:color w:val="auto"/>
        </w:rPr>
      </w:pPr>
      <w:r>
        <w:rPr>
          <w:rFonts w:ascii="Times New Roman" w:cs="Times New Roman" w:eastAsia="Times New Roman" w:hAnsi="Times New Roman"/>
          <w:sz w:val="20"/>
          <w:szCs w:val="20"/>
          <w:i w:val="1"/>
          <w:iCs w:val="1"/>
          <w:color w:val="auto"/>
        </w:rPr>
        <w:t>Barings Credit Agreement and Royalty Fee Derivative Liability</w:t>
      </w:r>
    </w:p>
    <w:p>
      <w:pPr>
        <w:spacing w:after="0" w:line="23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At December 31, 2025, the Barings Credit Facility, net of the Royalty Fee Derivative Liability, was carried at amortized cost totaling $72,090, comprised of the $71,336 non-current liability (Note 9) and $754 accrued interest (Note 8). The estimated fair value of the Barings Credit Facility, without the Royalty Fee Derivative Liability, was $78,940 at December 31, 2025. At December 31, 2024, the Barings Credit Facility, net of the Royalty Fee Derivative Liability, was carried at amortized cost totaling $69,097 comprised of the $68,505 non-current liability (Note 9) and $592 accrued interest (Note 8). The estimated fair value of the Barings Credit Facility, without the Royalty Fee Derivative Liability, was $73,608 at December 31, 2024.</w:t>
      </w:r>
    </w:p>
    <w:p>
      <w:pPr>
        <w:spacing w:after="0" w:line="201"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The fair value of the Royalty Fee Derivative Liability is estimated using a Monte Carlo simulation. The use of this approach requires the use of Level 3 unobservable inputs. The main inputs when determining the fair value of the Royalty Fee Derivative Liability are the amount and timing of the expected future revenue of the Company, the estimated volatility of these revenues, and the discount rate corresponding to the risk of revenue. The estimated fair value presented is not necessarily indicative of an amount that could be realized in a current market exchange. The use of alternative inputs and estimation methodologies could have a material effect on these estimates of fair value.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main inputs to valuing the Royalty Fee Derivative Liability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1260" w:type="dxa"/>
            <w:vAlign w:val="bottom"/>
            <w:tcBorders>
              <w:top w:val="single" w:sz="8" w:color="auto"/>
            </w:tcBorders>
            <w:gridSpan w:val="2"/>
          </w:tcPr>
          <w:p>
            <w:pPr>
              <w:jc w:val="right"/>
              <w:ind w:right="245"/>
              <w:spacing w:after="0" w:line="156"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60" w:type="dxa"/>
            <w:vAlign w:val="bottom"/>
            <w:tcBorders>
              <w:top w:val="single" w:sz="8" w:color="auto"/>
            </w:tcBorders>
          </w:tcPr>
          <w:p>
            <w:pPr>
              <w:jc w:val="right"/>
              <w:ind w:right="70"/>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Revenue volatility . . . . . . . . . . . . . . . . . . . . . . . . . . . . . . . . . . . . . . . . . . . . . . . . . . . . . . . .</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vMerge w:val="restart"/>
          </w:tcPr>
          <w:p>
            <w:pPr>
              <w:jc w:val="right"/>
              <w:ind w:right="5"/>
              <w:spacing w:after="0"/>
              <w:rPr>
                <w:sz w:val="20"/>
                <w:szCs w:val="20"/>
                <w:color w:val="auto"/>
              </w:rPr>
            </w:pPr>
            <w:r>
              <w:rPr>
                <w:rFonts w:ascii="Times New Roman" w:cs="Times New Roman" w:eastAsia="Times New Roman" w:hAnsi="Times New Roman"/>
                <w:sz w:val="22"/>
                <w:szCs w:val="22"/>
                <w:color w:val="auto"/>
                <w:w w:val="97"/>
              </w:rPr>
              <w:t>%</w:t>
            </w: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20" w:type="dxa"/>
            <w:vAlign w:val="bottom"/>
            <w:vMerge w:val="continue"/>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62.0</w:t>
            </w:r>
          </w:p>
        </w:tc>
        <w:tc>
          <w:tcPr>
            <w:tcW w:w="300" w:type="dxa"/>
            <w:vAlign w:val="bottom"/>
            <w:vMerge w:val="continue"/>
          </w:tcPr>
          <w:p>
            <w:pPr>
              <w:spacing w:after="0"/>
              <w:rPr>
                <w:sz w:val="19"/>
                <w:szCs w:val="19"/>
                <w:color w:val="auto"/>
              </w:rPr>
            </w:pPr>
          </w:p>
        </w:tc>
        <w:tc>
          <w:tcPr>
            <w:tcW w:w="14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64.0 %</w:t>
            </w:r>
          </w:p>
        </w:tc>
        <w:tc>
          <w:tcPr>
            <w:tcW w:w="0" w:type="dxa"/>
            <w:vAlign w:val="bottom"/>
          </w:tcPr>
          <w:p>
            <w:pPr>
              <w:spacing w:after="0"/>
              <w:rPr>
                <w:sz w:val="1"/>
                <w:szCs w:val="1"/>
                <w:color w:val="auto"/>
              </w:rPr>
            </w:pPr>
          </w:p>
        </w:tc>
      </w:tr>
      <w:tr>
        <w:trPr>
          <w:trHeight w:val="29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w w:val="98"/>
              </w:rPr>
              <w:t>Revenue discount rate . . . . . . . . . . . . . . . . . . . . . . . . . . . . . . . . . . . . . . . . . . . . . . . . . . . . .</w:t>
            </w:r>
          </w:p>
        </w:tc>
        <w:tc>
          <w:tcPr>
            <w:tcW w:w="126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 xml:space="preserve">14.0 </w:t>
            </w:r>
            <w:r>
              <w:rPr>
                <w:rFonts w:ascii="Times New Roman" w:cs="Times New Roman" w:eastAsia="Times New Roman" w:hAnsi="Times New Roman"/>
                <w:sz w:val="21"/>
                <w:szCs w:val="21"/>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16.0 %</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The main inputs to valuing the Royalty Fee Derivative Liability as of the Closing Date were revenue volatility of 61.0%, and a revenue discount rate of 15.8%.</w:t>
      </w:r>
    </w:p>
    <w:p>
      <w:pPr>
        <w:spacing w:after="0" w:line="152" w:lineRule="exact"/>
        <w:rPr>
          <w:sz w:val="20"/>
          <w:szCs w:val="20"/>
          <w:color w:val="auto"/>
        </w:rPr>
      </w:pPr>
    </w:p>
    <w:p>
      <w:pPr>
        <w:ind w:right="8360" w:firstLine="7"/>
        <w:spacing w:after="0" w:line="517" w:lineRule="auto"/>
        <w:tabs>
          <w:tab w:leader="none" w:pos="301"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Equity Preferred Stock</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The Restated Certificate of Incorporation, as amended, has authorized 5,000,000 shares of preferred stock,</w:t>
      </w:r>
    </w:p>
    <w:p>
      <w:pPr>
        <w:ind w:right="200"/>
        <w:spacing w:after="0" w:line="280" w:lineRule="auto"/>
        <w:rPr>
          <w:sz w:val="20"/>
          <w:szCs w:val="20"/>
          <w:color w:val="auto"/>
        </w:rPr>
      </w:pPr>
      <w:r>
        <w:rPr>
          <w:rFonts w:ascii="Times New Roman" w:cs="Times New Roman" w:eastAsia="Times New Roman" w:hAnsi="Times New Roman"/>
          <w:sz w:val="20"/>
          <w:szCs w:val="20"/>
          <w:color w:val="auto"/>
        </w:rPr>
        <w:t>$0.0001 par value, all of which is undesignated and none of which are issued or outstanding at December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42"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The Restated Certificate of Incorporation, as amended, authorized 100,000,000 shares of the Company’s common stock. Each share of common stock entitles the holder to one vote on all matters submitted to a vote of the Company’s stockholders. In June 2021, the Company adopted an amendment to the restated certificate of incorporation increasing the number of its authorized shares of its common stock to 200,000,000 shares, and in June 2024, the Company adopted a further amendment to the restated certificate of incorporation increasing the number of its authorized shares of its common stock by 200,000,000 shares to 400,000,000 shares.</w:t>
      </w:r>
    </w:p>
    <w:p>
      <w:pPr>
        <w:spacing w:after="0" w:line="19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On September 30, 2025, the Company entered into an underwriting agreement (the “2025 Underwriting Agreement”) with certain underwriters (the “2025 Underwriters”) relating to an underwritten offering (the “2025 Offering”) of 37,909,018 shares of the Company’s common stock, par value $0.0001 per share (the “2025 Shares”). The offering price of the 2025 Shares was $12.53 per share, and the 2025 Underwriters agreed to purchase all of the 2025 Shares from the Company pursuant to the 2025 Underwriting Agreement at a price of $11.7782 per share. In connection with entering into the 2025 Underwriting Agreement, also on September 30, 2025, the Company filed an automatically effective shelf registration statement on Form S-3 with the SEC. The sale of the 2025 Shares and the closing of the 2025 Offering occurred on October 1, 2025, and the Company received net proceeds of approximately $445,560, after deducting underwriting discounts and commissions and estimated other offering expenses, from the 2025 Offering.</w:t>
      </w:r>
    </w:p>
    <w:p>
      <w:pPr>
        <w:sectPr>
          <w:pgSz w:w="11880" w:h="15480" w:orient="portrait"/>
          <w:cols w:equalWidth="0" w:num="1">
            <w:col w:w="9720"/>
          </w:cols>
          <w:pgMar w:left="1080" w:top="106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9720"/>
          </w:cols>
          <w:pgMar w:left="1080" w:top="1069" w:right="1080" w:bottom="0" w:gutter="0" w:footer="0" w:header="0"/>
          <w:type w:val="continuous"/>
        </w:sectPr>
      </w:pPr>
    </w:p>
    <w:bookmarkStart w:id="170" w:name="page171"/>
    <w:bookmarkEnd w:id="170"/>
    <w:p>
      <w:pPr>
        <w:ind w:left="500"/>
        <w:spacing w:after="0"/>
        <w:rPr>
          <w:sz w:val="20"/>
          <w:szCs w:val="20"/>
          <w:color w:val="auto"/>
        </w:rPr>
      </w:pPr>
      <w:r>
        <w:rPr>
          <w:rFonts w:ascii="Times New Roman" w:cs="Times New Roman" w:eastAsia="Times New Roman" w:hAnsi="Times New Roman"/>
          <w:sz w:val="20"/>
          <w:szCs w:val="20"/>
          <w:color w:val="auto"/>
        </w:rPr>
        <w:t>On February 21, 2024, the Company entered into a securities purchase agreement (the “Securities Purchase</w:t>
      </w:r>
    </w:p>
    <w:p>
      <w:pPr>
        <w:spacing w:after="0"/>
        <w:rPr>
          <w:sz w:val="20"/>
          <w:szCs w:val="20"/>
          <w:color w:val="auto"/>
        </w:rPr>
      </w:pPr>
      <w:r>
        <w:rPr>
          <w:rFonts w:ascii="Times New Roman" w:cs="Times New Roman" w:eastAsia="Times New Roman" w:hAnsi="Times New Roman"/>
          <w:sz w:val="20"/>
          <w:szCs w:val="20"/>
          <w:color w:val="auto"/>
        </w:rPr>
        <w:t>Agreement”) with certain institutional accredited investors (the “Investors”), pursuant to which the Company issued and</w:t>
      </w:r>
    </w:p>
    <w:p>
      <w:pPr>
        <w:spacing w:after="0"/>
        <w:rPr>
          <w:sz w:val="20"/>
          <w:szCs w:val="20"/>
          <w:color w:val="auto"/>
        </w:rPr>
      </w:pPr>
      <w:r>
        <w:rPr>
          <w:rFonts w:ascii="Times New Roman" w:cs="Times New Roman" w:eastAsia="Times New Roman" w:hAnsi="Times New Roman"/>
          <w:sz w:val="19"/>
          <w:szCs w:val="19"/>
          <w:color w:val="auto"/>
        </w:rPr>
        <w:t>sold to the Investors in a private placement an aggregate of 32,413,560 shares of the Company’s common stock, par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$0.0001 per share (the “Shares”), at a price of $7.52 per share, and, to certain Investors in lieu of Shares, pre-funded warrants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purchase 10,805,957 shares of the Company’s common stock (the “Pre-Funded Warrants”), at a price of $7.519 per</w:t>
      </w:r>
    </w:p>
    <w:p>
      <w:pPr>
        <w:spacing w:after="0"/>
        <w:rPr>
          <w:sz w:val="20"/>
          <w:szCs w:val="20"/>
          <w:color w:val="auto"/>
        </w:rPr>
      </w:pPr>
      <w:r>
        <w:rPr>
          <w:rFonts w:ascii="Times New Roman" w:cs="Times New Roman" w:eastAsia="Times New Roman" w:hAnsi="Times New Roman"/>
          <w:sz w:val="20"/>
          <w:szCs w:val="20"/>
          <w:color w:val="auto"/>
        </w:rPr>
        <w:t>Pre-Funded Warrant (the “2024 Private Placement”). Each Pre-Funded Warrant issued in the 2024 Private Placement</w:t>
      </w:r>
    </w:p>
    <w:p>
      <w:pPr>
        <w:spacing w:after="0"/>
        <w:rPr>
          <w:sz w:val="20"/>
          <w:szCs w:val="20"/>
          <w:color w:val="auto"/>
        </w:rPr>
      </w:pPr>
      <w:r>
        <w:rPr>
          <w:rFonts w:ascii="Times New Roman" w:cs="Times New Roman" w:eastAsia="Times New Roman" w:hAnsi="Times New Roman"/>
          <w:sz w:val="20"/>
          <w:szCs w:val="20"/>
          <w:color w:val="auto"/>
        </w:rPr>
        <w:t>that remains outstanding has an exercise price of $0.001 per share, is currently exercisable and will remain exercisable</w:t>
      </w:r>
    </w:p>
    <w:p>
      <w:pPr>
        <w:spacing w:after="0"/>
        <w:rPr>
          <w:sz w:val="20"/>
          <w:szCs w:val="20"/>
          <w:color w:val="auto"/>
        </w:rPr>
      </w:pPr>
      <w:r>
        <w:rPr>
          <w:rFonts w:ascii="Times New Roman" w:cs="Times New Roman" w:eastAsia="Times New Roman" w:hAnsi="Times New Roman"/>
          <w:sz w:val="20"/>
          <w:szCs w:val="20"/>
          <w:color w:val="auto"/>
        </w:rPr>
        <w:t>until the Pre-Funded Warrant is exercised in full. The 2024 Private Placement closed on February 26, 2024. The</w:t>
      </w:r>
    </w:p>
    <w:p>
      <w:pPr>
        <w:spacing w:after="0"/>
        <w:rPr>
          <w:sz w:val="20"/>
          <w:szCs w:val="20"/>
          <w:color w:val="auto"/>
        </w:rPr>
      </w:pPr>
      <w:r>
        <w:rPr>
          <w:rFonts w:ascii="Times New Roman" w:cs="Times New Roman" w:eastAsia="Times New Roman" w:hAnsi="Times New Roman"/>
          <w:sz w:val="20"/>
          <w:szCs w:val="20"/>
          <w:color w:val="auto"/>
        </w:rPr>
        <w:t>Company received total net proceeds from the 2024 Private Placement of approximately $316,353 after deducting</w:t>
      </w:r>
    </w:p>
    <w:p>
      <w:pPr>
        <w:spacing w:after="0"/>
        <w:rPr>
          <w:sz w:val="20"/>
          <w:szCs w:val="20"/>
          <w:color w:val="auto"/>
        </w:rPr>
      </w:pPr>
      <w:r>
        <w:rPr>
          <w:rFonts w:ascii="Times New Roman" w:cs="Times New Roman" w:eastAsia="Times New Roman" w:hAnsi="Times New Roman"/>
          <w:sz w:val="20"/>
          <w:szCs w:val="20"/>
          <w:color w:val="auto"/>
        </w:rPr>
        <w:t>placement agent fees and offering expenses. The Company accounts for the Pre-Funded Warrants as a component of</w:t>
      </w:r>
    </w:p>
    <w:p>
      <w:pPr>
        <w:spacing w:after="0"/>
        <w:rPr>
          <w:sz w:val="20"/>
          <w:szCs w:val="20"/>
          <w:color w:val="auto"/>
        </w:rPr>
      </w:pPr>
      <w:r>
        <w:rPr>
          <w:rFonts w:ascii="Times New Roman" w:cs="Times New Roman" w:eastAsia="Times New Roman" w:hAnsi="Times New Roman"/>
          <w:sz w:val="20"/>
          <w:szCs w:val="20"/>
          <w:color w:val="auto"/>
        </w:rPr>
        <w:t>permanent equity. In connection with entering into the Securities Purchase Agreement, also on February 21, 2024, the</w:t>
      </w:r>
    </w:p>
    <w:p>
      <w:pPr>
        <w:spacing w:after="0"/>
        <w:rPr>
          <w:sz w:val="20"/>
          <w:szCs w:val="20"/>
          <w:color w:val="auto"/>
        </w:rPr>
      </w:pPr>
      <w:r>
        <w:rPr>
          <w:rFonts w:ascii="Times New Roman" w:cs="Times New Roman" w:eastAsia="Times New Roman" w:hAnsi="Times New Roman"/>
          <w:sz w:val="20"/>
          <w:szCs w:val="20"/>
          <w:color w:val="auto"/>
        </w:rPr>
        <w:t>Company entered into a registration rights agreement with the Investors, pursuant to which the Company agreed to</w:t>
      </w:r>
    </w:p>
    <w:p>
      <w:pPr>
        <w:spacing w:after="0"/>
        <w:rPr>
          <w:sz w:val="20"/>
          <w:szCs w:val="20"/>
          <w:color w:val="auto"/>
        </w:rPr>
      </w:pPr>
      <w:r>
        <w:rPr>
          <w:rFonts w:ascii="Times New Roman" w:cs="Times New Roman" w:eastAsia="Times New Roman" w:hAnsi="Times New Roman"/>
          <w:sz w:val="20"/>
          <w:szCs w:val="20"/>
          <w:color w:val="auto"/>
        </w:rPr>
        <w:t>register for resale the Shares and the shares of the Company’s common stock issuable upon exercise of the Pre-Funded</w:t>
      </w:r>
    </w:p>
    <w:p>
      <w:pPr>
        <w:spacing w:after="0"/>
        <w:rPr>
          <w:sz w:val="20"/>
          <w:szCs w:val="20"/>
          <w:color w:val="auto"/>
        </w:rPr>
      </w:pPr>
      <w:r>
        <w:rPr>
          <w:rFonts w:ascii="Times New Roman" w:cs="Times New Roman" w:eastAsia="Times New Roman" w:hAnsi="Times New Roman"/>
          <w:sz w:val="20"/>
          <w:szCs w:val="20"/>
          <w:color w:val="auto"/>
        </w:rPr>
        <w:t>Warrants (together with the Shares, the “Registrable Securities”). The Company filed a registration statement regarding</w:t>
      </w:r>
    </w:p>
    <w:p>
      <w:pPr>
        <w:spacing w:after="0"/>
        <w:rPr>
          <w:sz w:val="20"/>
          <w:szCs w:val="20"/>
          <w:color w:val="auto"/>
        </w:rPr>
      </w:pPr>
      <w:r>
        <w:rPr>
          <w:rFonts w:ascii="Times New Roman" w:cs="Times New Roman" w:eastAsia="Times New Roman" w:hAnsi="Times New Roman"/>
          <w:sz w:val="20"/>
          <w:szCs w:val="20"/>
          <w:color w:val="auto"/>
        </w:rPr>
        <w:t>the Registrable Securities on Form S-3 with the SEC on March 25, 2024. During the twelve months ended December 31,</w:t>
      </w:r>
    </w:p>
    <w:p>
      <w:pPr>
        <w:spacing w:after="0"/>
        <w:rPr>
          <w:sz w:val="20"/>
          <w:szCs w:val="20"/>
          <w:color w:val="auto"/>
        </w:rPr>
      </w:pPr>
      <w:r>
        <w:rPr>
          <w:rFonts w:ascii="Times New Roman" w:cs="Times New Roman" w:eastAsia="Times New Roman" w:hAnsi="Times New Roman"/>
          <w:sz w:val="20"/>
          <w:szCs w:val="20"/>
          <w:color w:val="auto"/>
        </w:rPr>
        <w:t>2025, Pre-Funded Warrants to purchase 3,237,912 shares of the Company’s common stock were exercised via cashless</w:t>
      </w:r>
    </w:p>
    <w:p>
      <w:pPr>
        <w:spacing w:after="0"/>
        <w:rPr>
          <w:sz w:val="20"/>
          <w:szCs w:val="20"/>
          <w:color w:val="auto"/>
        </w:rPr>
      </w:pPr>
      <w:r>
        <w:rPr>
          <w:rFonts w:ascii="Times New Roman" w:cs="Times New Roman" w:eastAsia="Times New Roman" w:hAnsi="Times New Roman"/>
          <w:sz w:val="20"/>
          <w:szCs w:val="20"/>
          <w:color w:val="auto"/>
        </w:rPr>
        <w:t>exercise for 3,237,598 shares of the Company’s common stock. As of December 31, 2025, 7,568,045 Pre-Funded</w:t>
      </w:r>
    </w:p>
    <w:p>
      <w:pPr>
        <w:spacing w:after="0"/>
        <w:rPr>
          <w:sz w:val="20"/>
          <w:szCs w:val="20"/>
          <w:color w:val="auto"/>
        </w:rPr>
      </w:pPr>
      <w:r>
        <w:rPr>
          <w:rFonts w:ascii="Times New Roman" w:cs="Times New Roman" w:eastAsia="Times New Roman" w:hAnsi="Times New Roman"/>
          <w:sz w:val="20"/>
          <w:szCs w:val="20"/>
          <w:color w:val="auto"/>
        </w:rPr>
        <w:t>Warrants remained outstanding. There were no exercises of Pre-Funded Warrants during the twelve months ended</w:t>
      </w: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3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August 2021, the Company and Jefferies LLC (“Jefferies”) entered into an Open Market Sale Agreement (the “2021 Sales Agreement”) under which the Company may offer and sell shares of its common stock from time to time through Jefferies, acting as agent. In November 2023, the Company filed a prospectus in connection with the 2021 Sales Agreement for the issuance and sale of common stock having an aggregate offering price of up to $100,000 thereunder. During the twelve months ended December 31, 2025, the Company sold 11,548,364 shares of common stock under the 2021 Sales Agreement, resulting in gross proceeds to the Company of $96,775, and net proceeds, after accounting for issuance costs, of $94,025. The Company did not offer or sell shares of its common stock under the 2021 Sales Agreement during the twelve months ended December 31, 2024. In the twelve months ended December 31, 2023, the Company sold 1,514,926 shares of common stock under the 2021 Sales Agreement, resulting in gross proceeds to the Company of $9,897, and net proceeds, after accounting for issuance costs, of $9,532.</w:t>
      </w:r>
    </w:p>
    <w:p>
      <w:pPr>
        <w:spacing w:after="0" w:line="202"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On March 28, 2024, the Company issued 5,769,232 shares of its common stock to the holder of the Convertible Notes in connection with the Conversion. The newly issued shares of common stock were valued at fair value, being the closing price of the Company’s common stock on that day, resulting in an increase in par value of the Company’s common stock of $1 and an increase in additional paid-in capital of $52,499.</w:t>
      </w:r>
    </w:p>
    <w:p>
      <w:pPr>
        <w:spacing w:after="0" w:line="19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On December 13, 2023, the Company entered into an underwriting agreement with Jefferies, BofA Securities, Inc. and Piper Sandler &amp; Co. (collectively “the Underwriters”) in connection with an underwritten public offering of 30,800,000 shares of the Company’s common stock. Under the terms of this underwriting agreement, the Company also granted the Underwriters an option to purchase up to an additional 4,620,000 shares of common stock at the public offering price, less the underwriting discounts and commissions. On December 17, 2023, the Company sold all 35,420,000 shares of common stock and closed this underwritten public offering. The public offering price of the shares in this offering was $3.25 per share, and the Underwriters purchased all of the shares from the Company at a price of $3.055 per share. After deducting underwriting discounts and commissions and offering expenses, the Company received net proceeds from the offering of $107,725.</w:t>
      </w:r>
    </w:p>
    <w:p>
      <w:pPr>
        <w:spacing w:after="0" w:line="197" w:lineRule="exact"/>
        <w:rPr>
          <w:sz w:val="20"/>
          <w:szCs w:val="20"/>
          <w:color w:val="auto"/>
        </w:rPr>
      </w:pPr>
    </w:p>
    <w:p>
      <w:pPr>
        <w:ind w:right="380" w:firstLine="490"/>
        <w:spacing w:after="0" w:line="279" w:lineRule="auto"/>
        <w:rPr>
          <w:sz w:val="20"/>
          <w:szCs w:val="20"/>
          <w:color w:val="auto"/>
        </w:rPr>
      </w:pPr>
      <w:r>
        <w:rPr>
          <w:rFonts w:ascii="Times New Roman" w:cs="Times New Roman" w:eastAsia="Times New Roman" w:hAnsi="Times New Roman"/>
          <w:sz w:val="20"/>
          <w:szCs w:val="20"/>
          <w:color w:val="auto"/>
        </w:rPr>
        <w:t>As of December 31, 2025, the Company had reserved 10,057,548 shares of common stock for future grants of stock-based awards under its stock-based compensation plans (Note 13).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Stock-Based Awards</w:t>
      </w:r>
    </w:p>
    <w:p>
      <w:pPr>
        <w:spacing w:after="0" w:line="242" w:lineRule="exact"/>
        <w:rPr>
          <w:sz w:val="20"/>
          <w:szCs w:val="20"/>
          <w:color w:val="auto"/>
        </w:rPr>
      </w:pPr>
    </w:p>
    <w:p>
      <w:pPr>
        <w:ind w:right="100" w:firstLine="489"/>
        <w:spacing w:after="0" w:line="248" w:lineRule="auto"/>
        <w:rPr>
          <w:sz w:val="20"/>
          <w:szCs w:val="20"/>
          <w:color w:val="auto"/>
        </w:rPr>
      </w:pPr>
      <w:r>
        <w:rPr>
          <w:rFonts w:ascii="Times New Roman" w:cs="Times New Roman" w:eastAsia="Times New Roman" w:hAnsi="Times New Roman"/>
          <w:sz w:val="20"/>
          <w:szCs w:val="20"/>
          <w:color w:val="auto"/>
        </w:rPr>
        <w:t>For the years ended December 31, 2025 and 2024, the Company had three stock-based compensation plans under which it was able to grant stock-based awards, the 2021 Stock Incentive Plan, as amended (the “2021 Plan”), the 2019 Inducement Stock Incentive Plan, as amended (the “2019 Inducement Plan”), and the 2014 Employee Stock Purchase Plan (the “ESPP”) (collectively the “Stock Plans”). Certain inducement awards made prior to inception of the 2019 Inducement Plan were issued outside of the Stock Plans. The purpose of the Stock Plans is to provide incentives to employees, directors, and nonemployee consultants. The 2021 Plan and the 2019 Inducement Plan provide for the grant</w:t>
      </w:r>
    </w:p>
    <w:p>
      <w:pPr>
        <w:sectPr>
          <w:pgSz w:w="11880" w:h="15480" w:orient="portrait"/>
          <w:cols w:equalWidth="0" w:num="1">
            <w:col w:w="9680"/>
          </w:cols>
          <w:pgMar w:left="1080" w:top="1064" w:right="112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9680"/>
          </w:cols>
          <w:pgMar w:left="1080" w:top="1064" w:right="1120" w:bottom="0" w:gutter="0" w:footer="0" w:header="0"/>
          <w:type w:val="continuous"/>
        </w:sectPr>
      </w:pPr>
    </w:p>
    <w:bookmarkStart w:id="171" w:name="page172"/>
    <w:bookmarkEnd w:id="171"/>
    <w:p>
      <w:pPr>
        <w:ind w:right="60"/>
        <w:spacing w:after="0" w:line="260" w:lineRule="auto"/>
        <w:rPr>
          <w:sz w:val="20"/>
          <w:szCs w:val="20"/>
          <w:color w:val="auto"/>
        </w:rPr>
      </w:pPr>
      <w:r>
        <w:rPr>
          <w:rFonts w:ascii="Times New Roman" w:cs="Times New Roman" w:eastAsia="Times New Roman" w:hAnsi="Times New Roman"/>
          <w:sz w:val="20"/>
          <w:szCs w:val="20"/>
          <w:color w:val="auto"/>
        </w:rPr>
        <w:t>of non-statutory stock options, restricted stock awards, restricted stock units (“RSUs”), performance stock units (“PSUs”), stock appreciation rights and other stock-based awards. The 2021 Plan also provides for the grant of incentive stock options.</w:t>
      </w:r>
    </w:p>
    <w:p>
      <w:pPr>
        <w:spacing w:after="0" w:line="183" w:lineRule="exact"/>
        <w:rPr>
          <w:sz w:val="20"/>
          <w:szCs w:val="20"/>
          <w:color w:val="auto"/>
        </w:rPr>
      </w:pPr>
    </w:p>
    <w:p>
      <w:pPr>
        <w:ind w:right="20" w:firstLine="489"/>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2021 Plan </w:t>
      </w:r>
      <w:r>
        <w:rPr>
          <w:rFonts w:ascii="Times New Roman" w:cs="Times New Roman" w:eastAsia="Times New Roman" w:hAnsi="Times New Roman"/>
          <w:sz w:val="19"/>
          <w:szCs w:val="19"/>
          <w:color w:val="auto"/>
        </w:rPr>
        <w:t>- The number of shares initially reserved for issuance under the 2021 Plan was 6,000,000 shares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 stock; plus 456,334 shares remaining available for grant under the 2014 Plan as of immediately prior to the effective date of the 2021 Plan and 9,766,336 shares subject to awards granted under the 2014 Plan or the 2006 Plan, which awards expire, terminate or are otherwise surrendered, canceled, forfeited or repurchased by the Company at their original issuance price pursuant to a contractual repurchase right (subject to certain limitations). On June 16, 2022, the Company’s stockholders approved an amendment (“Amendment No. 1”) to the Company’s 2021 Plan. Amendment No. 1 increased the number of shares of common stock that is reserved for issuance under the 2021 Plan by 3,600,000. On June 14, 2023, the Company’s stockholders approved an amendment (“Amendment No. 2”) to the Company’s 2021 Plan. Amendment No. 2 increased the number of shares of common stock that is reserved for issuance under the 2021 Plan by 3,900,000. On June 12, 2024, the Company’s stockholders approved an amendment (“Amendment No. 3”) to the Company’s 2021 Plan. Amendment No. 3 increased the number of shares of common stock that is reserved for issuance under the 2021 Plan by 7,000,000. On June 11, 2025, the Company’s stockholders approved an amendment to the 2021 Plan to increase the aggregate number of shares of common stock issuable thereunder by 8,750,000 (“Amendment No. 4 to the 2021 Plan”). As of December 31, 2025, 7,105,154 shares remained available for issuance under the 2021 Plan.</w:t>
      </w:r>
    </w:p>
    <w:p>
      <w:pPr>
        <w:spacing w:after="0" w:line="19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2019 Inducement Plan </w:t>
      </w:r>
      <w:r>
        <w:rPr>
          <w:rFonts w:ascii="Times New Roman" w:cs="Times New Roman" w:eastAsia="Times New Roman" w:hAnsi="Times New Roman"/>
          <w:sz w:val="20"/>
          <w:szCs w:val="20"/>
          <w:color w:val="auto"/>
        </w:rPr>
        <w:t>- Awards under the 2019 Inducement Plan may only be granted to persons who (a) were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previously an employee or director of the Company or (b) are commencing employment with the Company following a bona fide period of non-employment, in either case as an inducement material to the individual’s entering into employment with the Company and in accordance with the requirements of Nasdaq Stock Market Rule 5635(c)(4). For the avoidance of doubt, neither consultants nor advisors shall be eligible to participate in the 2019 Inducement Plan. Each person who is granted an Award under the 2019 Inducement Plan is deemed a “Participant”. On December 10, 2020, the board of directors of the Company amended the 2019 Inducement Plan to increase the aggregate number of shares issuable by 554,000 shares of common stock to 1,054,000. On February 20, 2024, the Company’s board of directors amended the 2019 Inducement Plan to increase the aggregate number of shares issuable thereunder from 1,054,000 to 3,804,000 shares of common stock. On April 16, 2024, the board of directors of the Company further amended the 2019 Inducement Plan to increase the aggregate number of shares issuable thereunder from 3,804,000 to 4,804,000 shares of common stock. On October 4, 2024, the board of directors of the Company further amended the 2019 Inducement Plan to increase the aggregate number of shares issuable thereunder from 4,804,000 to 6,054,000 shares of common stock. As of December 31, 2025, 769,016 shares remained available for issuance under the 2019 Inducement Plan.</w:t>
      </w:r>
    </w:p>
    <w:p>
      <w:pPr>
        <w:spacing w:after="0" w:line="211" w:lineRule="exact"/>
        <w:rPr>
          <w:sz w:val="20"/>
          <w:szCs w:val="20"/>
          <w:color w:val="auto"/>
        </w:rPr>
      </w:pPr>
    </w:p>
    <w:p>
      <w:pPr>
        <w:ind w:right="20" w:firstLine="489"/>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ESPP </w:t>
      </w:r>
      <w:r>
        <w:rPr>
          <w:rFonts w:ascii="Times New Roman" w:cs="Times New Roman" w:eastAsia="Times New Roman" w:hAnsi="Times New Roman"/>
          <w:sz w:val="20"/>
          <w:szCs w:val="20"/>
          <w:color w:val="auto"/>
        </w:rPr>
        <w:t>– The number of shares initially reserved for issuance under the ESPP was 207,402 shares of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The number of shares of common stock that may be issued under the ESPP will automatically increase on the first day of each fiscal year, commencing on January 1, 2015 and ending on December 31, 2024, in an amount equal to the least of 207,402 shares of the Company’s common stock, 0.5% of the number of shares of the Company’s common stock outstanding on the first day of the applicable fiscal year, and an amount determined by the Company’s board of directors. On January 1, 2023, the number of shares available for issuance under the ESPP increased by 207,402. On January 1, 2024, the number of shares available for issuance under the ESPP increased from 398,784 to 606,186. On June 11, 2025, the Company’s stockholders approved the amendment and restatement of the ESPP to increase the number of shares of common stock issuable thereunder by 2,000,000 and to eliminate the provisions in the ESPP related to the annual “evergreen” share increase. As of December 31, 2025, 2,183,378 shares of common stock remained available for issuance under the ESPP.</w:t>
      </w:r>
    </w:p>
    <w:p>
      <w:pPr>
        <w:spacing w:after="0" w:line="19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Stock options granted pursuant to the Stock Plans, excluding awards under the ESPP, are granted at exercise prices not to be less than the fair value of common shares as of the date of grant. With the exception of performance option awards and awards under the ESPP, stock options granted pursuant to the Stock Plans generally require a service period of 4 years and generally vest monthly, or 1/4 on the first anniversary of the grant date, with the remainder vesting monthly over the remaining three years. Stock Options granted under the 2019 Inducement Plan may in addition be subject to performance-based vesting. The maximum contractual term of Stock Options granted under the Stock Plans is generally 10 years. RSUs granted pursuant to the Stock Plans generally require a service period of 3 years and generally vest 1/3 on each anniversary of the grant date. Certain RSUs granted to certain newly hired executive and senior-level employees in the year ended December 31, 2024 require a service period of 3 years and vest quarterly. An immaterial</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9720"/>
          </w:cols>
          <w:pgMar w:left="1080" w:top="1064" w:right="1080" w:bottom="0" w:gutter="0" w:footer="0" w:header="0"/>
          <w:type w:val="continuous"/>
        </w:sectPr>
      </w:pPr>
    </w:p>
    <w:bookmarkStart w:id="172" w:name="page173"/>
    <w:bookmarkEnd w:id="172"/>
    <w:p>
      <w:pPr>
        <w:ind w:right="360"/>
        <w:spacing w:after="0" w:line="280" w:lineRule="auto"/>
        <w:rPr>
          <w:sz w:val="20"/>
          <w:szCs w:val="20"/>
          <w:color w:val="auto"/>
        </w:rPr>
      </w:pPr>
      <w:r>
        <w:rPr>
          <w:rFonts w:ascii="Times New Roman" w:cs="Times New Roman" w:eastAsia="Times New Roman" w:hAnsi="Times New Roman"/>
          <w:sz w:val="20"/>
          <w:szCs w:val="20"/>
          <w:color w:val="auto"/>
        </w:rPr>
        <w:t>number of RSUs granted to employees in the year ended December 31, 2024 vest fully on the first anniversary of the grant and are, in addition, subject to performance conditions.</w:t>
      </w:r>
    </w:p>
    <w:p>
      <w:pPr>
        <w:spacing w:after="0" w:line="16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On February 11, 2025, the Company granted 1,500,000 PSUs to its Executive Chairman, President and Chief Executive Officer under the 2021 Plan. Each PSU is settleable for one share of common stock upon vesting. The PSUs are allocated equally across four tranches, which can be earned during a five-year performance period commencing on the grant date (the “PSU Performance Period”), if the Company’s consecutive 60-day closing stock price average meets or exceeds per share price hurdles of $15.00, $20.00, $25.00 and $30.00, as applicable. All PSUs are subject to a service condition. The PSUs earned during the first three years of the PSU Performance Period are subject to additional service-based vesting requirements through February 11, 2028.</w:t>
      </w:r>
    </w:p>
    <w:p>
      <w:pPr>
        <w:spacing w:after="0" w:line="19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 xml:space="preserve">On February 11, 2025, the Company granted 2,750,000 performance stock options to the Company’s Executive Chairman, President and Chief Executive Officer under the 2021 Plan (the “Performance Option Award”). The Performance Option Award was contingent upon the approval by the Company’s stockholders of Amendment No. 4 to the 2021 Plan. The stockholders of the Company approved Amendment No. 4 to the 2021 Plan on June 11, 2025. In accordance with the guidance of Accounting Standards Codification Topic 718 </w:t>
      </w:r>
      <w:r>
        <w:rPr>
          <w:rFonts w:ascii="Times New Roman" w:cs="Times New Roman" w:eastAsia="Times New Roman" w:hAnsi="Times New Roman"/>
          <w:sz w:val="20"/>
          <w:szCs w:val="20"/>
          <w:i w:val="1"/>
          <w:iCs w:val="1"/>
          <w:color w:val="auto"/>
        </w:rPr>
        <w:t>Compensation—Stock Compensation</w:t>
      </w:r>
      <w:r>
        <w:rPr>
          <w:rFonts w:ascii="Times New Roman" w:cs="Times New Roman" w:eastAsia="Times New Roman" w:hAnsi="Times New Roman"/>
          <w:sz w:val="20"/>
          <w:szCs w:val="20"/>
          <w:color w:val="auto"/>
        </w:rPr>
        <w:t>, the Performance Option Award was deemed granted for financial accounting purposes as of June 11, 2025 when shareholder approval was obtained. The Performance Option Award is allocated equally across four tranches, which can be earned during a five-year performance period commencing on February 11, 2025 (the “Option Award Performance Period”), if the Company’s consecutive 60-day closing stock price average meets or exceeds per share price hurdles of $15.00, $20.00, $25.00 and $30.00, as applicable. All performance stock options are subject to a service condition. The performance stock options earned during the first three years of the Option Award Performance Period are subject to additional service-based vesting requirements through February 11, 2028.</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Valuation of Awards</w:t>
      </w:r>
    </w:p>
    <w:p>
      <w:pPr>
        <w:spacing w:after="0" w:line="23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fair value of each stock option grant, excluding the grants under the Performance Option Award, is estimated on the date of grant using the Black-Scholes option-pricing model. The expected life of the options was calculated using the simplified method. The simplified method defines the life as the average of the contractual term of the options and the weighted-average vesting period for all option tranches. The Company utilizes the simplified method because the Company does not have sufficient historical exercise data over the life of awards to provide a reasonable basis upon which to estimate expected term.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Company uses its historical volatility to estimate expected volatility.</w:t>
      </w:r>
    </w:p>
    <w:p>
      <w:pPr>
        <w:spacing w:after="0" w:line="202" w:lineRule="exact"/>
        <w:rPr>
          <w:sz w:val="20"/>
          <w:szCs w:val="20"/>
          <w:color w:val="auto"/>
        </w:rPr>
      </w:pPr>
    </w:p>
    <w:p>
      <w:pPr>
        <w:ind w:right="100" w:firstLine="490"/>
        <w:spacing w:after="0" w:line="280" w:lineRule="auto"/>
        <w:rPr>
          <w:sz w:val="20"/>
          <w:szCs w:val="20"/>
          <w:color w:val="auto"/>
        </w:rPr>
      </w:pPr>
      <w:r>
        <w:rPr>
          <w:rFonts w:ascii="Times New Roman" w:cs="Times New Roman" w:eastAsia="Times New Roman" w:hAnsi="Times New Roman"/>
          <w:sz w:val="20"/>
          <w:szCs w:val="20"/>
          <w:color w:val="auto"/>
        </w:rPr>
        <w:t>The assumptions that the Company used to determine the fair value of the stock options granted to employees and directors, excluding the Performance Option Award, are as follows, presented on a weighted average basis:</w:t>
      </w:r>
    </w:p>
    <w:p>
      <w:pPr>
        <w:spacing w:after="0" w:line="17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197"/>
        </w:trPr>
        <w:tc>
          <w:tcPr>
            <w:tcW w:w="7160" w:type="dxa"/>
            <w:vAlign w:val="bottom"/>
            <w:vMerge w:val="restart"/>
          </w:tcPr>
          <w:p>
            <w:pPr>
              <w:jc w:val="right"/>
              <w:ind w:right="5320"/>
              <w:spacing w:after="0"/>
              <w:rPr>
                <w:sz w:val="20"/>
                <w:szCs w:val="20"/>
                <w:color w:val="auto"/>
              </w:rPr>
            </w:pPr>
            <w:r>
              <w:rPr>
                <w:rFonts w:ascii="Times New Roman" w:cs="Times New Roman" w:eastAsia="Times New Roman" w:hAnsi="Times New Roman"/>
                <w:sz w:val="20"/>
                <w:szCs w:val="20"/>
                <w:color w:val="auto"/>
                <w:w w:val="99"/>
              </w:rPr>
              <w:t>Risk-free interest rate</w:t>
            </w:r>
          </w:p>
        </w:tc>
        <w:tc>
          <w:tcPr>
            <w:tcW w:w="6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01"/>
        </w:trPr>
        <w:tc>
          <w:tcPr>
            <w:tcW w:w="7160" w:type="dxa"/>
            <w:vAlign w:val="bottom"/>
            <w:vMerge w:val="continue"/>
          </w:tcPr>
          <w:p>
            <w:pPr>
              <w:jc w:val="right"/>
              <w:ind w:right="20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4.21</w:t>
            </w:r>
          </w:p>
        </w:tc>
        <w:tc>
          <w:tcPr>
            <w:tcW w:w="260" w:type="dxa"/>
            <w:vAlign w:val="bottom"/>
            <w:vMerge w:val="continue"/>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4.11</w:t>
            </w:r>
          </w:p>
        </w:tc>
        <w:tc>
          <w:tcPr>
            <w:tcW w:w="260" w:type="dxa"/>
            <w:vAlign w:val="bottom"/>
            <w:vMerge w:val="continue"/>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3.72</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1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Expected term (in years) . .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Expected volatility. . . . . . . . . . . . .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80.32 %</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80.12 %  77.32 %</w:t>
            </w:r>
          </w:p>
        </w:tc>
        <w:tc>
          <w:tcPr>
            <w:tcW w:w="0" w:type="dxa"/>
            <w:vAlign w:val="bottom"/>
          </w:tcPr>
          <w:p>
            <w:pPr>
              <w:spacing w:after="0"/>
              <w:rPr>
                <w:sz w:val="1"/>
                <w:szCs w:val="1"/>
                <w:color w:val="auto"/>
              </w:rPr>
            </w:pPr>
          </w:p>
        </w:tc>
      </w:tr>
      <w:tr>
        <w:trPr>
          <w:trHeight w:val="268"/>
        </w:trPr>
        <w:tc>
          <w:tcPr>
            <w:tcW w:w="71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Expected dividend yield . . . . . . . .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For RSUs, the grant date fair value is the closing price of the Company’s stock on the grant date.</w:t>
      </w:r>
    </w:p>
    <w:p>
      <w:pPr>
        <w:spacing w:after="0" w:line="239" w:lineRule="exact"/>
        <w:rPr>
          <w:sz w:val="20"/>
          <w:szCs w:val="20"/>
          <w:color w:val="auto"/>
        </w:rPr>
      </w:pPr>
    </w:p>
    <w:p>
      <w:pPr>
        <w:ind w:right="20" w:firstLine="489"/>
        <w:spacing w:after="0" w:line="250" w:lineRule="auto"/>
        <w:rPr>
          <w:sz w:val="20"/>
          <w:szCs w:val="20"/>
          <w:color w:val="auto"/>
        </w:rPr>
      </w:pPr>
      <w:r>
        <w:rPr>
          <w:rFonts w:ascii="Times New Roman" w:cs="Times New Roman" w:eastAsia="Times New Roman" w:hAnsi="Times New Roman"/>
          <w:sz w:val="20"/>
          <w:szCs w:val="20"/>
          <w:color w:val="auto"/>
        </w:rPr>
        <w:t>The fair value of each tranche of the PSUs and each tranche of the Performance Option Award was estimated using a Monte Carlo simulation. The main inputs to valuing each tranche, presented on a weighted average basis, include the risk-free interest rate of 4.3%, expected volatility of 95.1%, the contractual term of 5.0 years, and an expected dividend yield of 0.0%. The requisite service period for each tranche was derived from the Monte Carlo simulation, taking into account the three-year minimum service requirement.</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9720"/>
          </w:cols>
          <w:pgMar w:left="1080" w:top="1064" w:right="1080" w:bottom="0" w:gutter="0" w:footer="0" w:header="0"/>
          <w:type w:val="continuous"/>
        </w:sectPr>
      </w:pPr>
    </w:p>
    <w:bookmarkStart w:id="173" w:name="page174"/>
    <w:bookmarkEnd w:id="173"/>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excluding the Performance Option Award: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Shares Issuable</w:t>
            </w:r>
          </w:p>
        </w:tc>
        <w:tc>
          <w:tcPr>
            <w:tcW w:w="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0" w:type="dxa"/>
            <w:vAlign w:val="bottom"/>
            <w:gridSpan w:val="2"/>
          </w:tcPr>
          <w:p>
            <w:pPr>
              <w:jc w:val="center"/>
              <w:ind w:left="64"/>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Under Options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52"/>
        </w:trPr>
        <w:tc>
          <w:tcPr>
            <w:tcW w:w="58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 xml:space="preserve">Outstanding as of December 31, 2024 </w:t>
            </w:r>
            <w:r>
              <w:rPr>
                <w:rFonts w:ascii="Times New Roman" w:cs="Times New Roman" w:eastAsia="Times New Roman" w:hAnsi="Times New Roman"/>
                <w:sz w:val="20"/>
                <w:szCs w:val="20"/>
                <w:color w:val="auto"/>
                <w:w w:val="98"/>
              </w:rPr>
              <w:t>. . . . . . . . . . . . . . . . . . . . . . . . .</w:t>
            </w:r>
          </w:p>
        </w:tc>
        <w:tc>
          <w:tcPr>
            <w:tcW w:w="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9"/>
              </w:rPr>
              <w:t>(In years)</w:t>
            </w: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vMerge w:val="continue"/>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19,887,683</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$ 41,570</w:t>
            </w:r>
          </w:p>
        </w:tc>
        <w:tc>
          <w:tcPr>
            <w:tcW w:w="0" w:type="dxa"/>
            <w:vAlign w:val="bottom"/>
          </w:tcPr>
          <w:p>
            <w:pPr>
              <w:spacing w:after="0"/>
              <w:rPr>
                <w:sz w:val="1"/>
                <w:szCs w:val="1"/>
                <w:color w:val="auto"/>
              </w:rPr>
            </w:pPr>
          </w:p>
        </w:tc>
      </w:tr>
      <w:tr>
        <w:trPr>
          <w:trHeight w:val="230"/>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Granted . . . . . . . . . . . . . . . . . . . .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4,646,284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Exercised . . . . . . . . . . . . . . . . . . . . . . . . . . . . . . . . . . . . . . . . . . . . .</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(3,721,747)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Cancelled/forfeited . . . . . . . . . . . . . . . . . . . . . . . . . . . . . . . . . . . . .</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(1,674,403)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w:t>
            </w:r>
            <w:r>
              <w:rPr>
                <w:rFonts w:ascii="Times New Roman" w:cs="Times New Roman" w:eastAsia="Times New Roman" w:hAnsi="Times New Roman"/>
                <w:sz w:val="20"/>
                <w:szCs w:val="20"/>
                <w:b w:val="1"/>
                <w:bCs w:val="1"/>
                <w:color w:val="auto"/>
              </w:rPr>
              <w:t>OutstandingasofDecember31,2025</w:t>
            </w:r>
          </w:p>
        </w:tc>
        <w:tc>
          <w:tcPr>
            <w:tcW w:w="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19,137,817</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$ 86,261</w:t>
            </w:r>
          </w:p>
        </w:tc>
        <w:tc>
          <w:tcPr>
            <w:tcW w:w="0" w:type="dxa"/>
            <w:vAlign w:val="bottom"/>
          </w:tcPr>
          <w:p>
            <w:pPr>
              <w:spacing w:after="0"/>
              <w:rPr>
                <w:sz w:val="1"/>
                <w:szCs w:val="1"/>
                <w:color w:val="auto"/>
              </w:rPr>
            </w:pPr>
          </w:p>
        </w:tc>
      </w:tr>
      <w:tr>
        <w:trPr>
          <w:trHeight w:val="240"/>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w:t>
            </w:r>
            <w:r>
              <w:rPr>
                <w:rFonts w:ascii="Times New Roman" w:cs="Times New Roman" w:eastAsia="Times New Roman" w:hAnsi="Times New Roman"/>
                <w:sz w:val="20"/>
                <w:szCs w:val="20"/>
                <w:b w:val="1"/>
                <w:bCs w:val="1"/>
                <w:color w:val="auto"/>
              </w:rPr>
              <w:t>OptionsvestedandexpectedtovestasofDecember31,2025</w:t>
            </w:r>
          </w:p>
        </w:tc>
        <w:tc>
          <w:tcPr>
            <w:tcW w:w="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17,587,128</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$ 77,968</w:t>
            </w:r>
          </w:p>
        </w:tc>
        <w:tc>
          <w:tcPr>
            <w:tcW w:w="0" w:type="dxa"/>
            <w:vAlign w:val="bottom"/>
          </w:tcPr>
          <w:p>
            <w:pPr>
              <w:spacing w:after="0"/>
              <w:rPr>
                <w:sz w:val="1"/>
                <w:szCs w:val="1"/>
                <w:color w:val="auto"/>
              </w:rPr>
            </w:pPr>
          </w:p>
        </w:tc>
      </w:tr>
      <w:tr>
        <w:trPr>
          <w:trHeight w:val="242"/>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w:t>
            </w:r>
            <w:r>
              <w:rPr>
                <w:rFonts w:ascii="Times New Roman" w:cs="Times New Roman" w:eastAsia="Times New Roman" w:hAnsi="Times New Roman"/>
                <w:sz w:val="20"/>
                <w:szCs w:val="20"/>
                <w:b w:val="1"/>
                <w:bCs w:val="1"/>
                <w:color w:val="auto"/>
              </w:rPr>
              <w:t>OptionsexercisableasofDecember31,2025</w:t>
            </w: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10,852,007</w:t>
            </w: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$ 52,781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 w:firstLine="489"/>
        <w:spacing w:after="0" w:line="253" w:lineRule="auto"/>
        <w:rPr>
          <w:sz w:val="20"/>
          <w:szCs w:val="20"/>
          <w:color w:val="auto"/>
        </w:rPr>
      </w:pPr>
      <w:r>
        <w:rPr>
          <w:rFonts w:ascii="Times New Roman" w:cs="Times New Roman" w:eastAsia="Times New Roman" w:hAnsi="Times New Roman"/>
          <w:sz w:val="20"/>
          <w:szCs w:val="20"/>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$18,378, $11,102, and $275 during the years ended December 31, 2025, 2024 and 2023, respectively.</w:t>
      </w:r>
    </w:p>
    <w:p>
      <w:pPr>
        <w:spacing w:after="0" w:line="190" w:lineRule="exact"/>
        <w:rPr>
          <w:sz w:val="20"/>
          <w:szCs w:val="20"/>
          <w:color w:val="auto"/>
        </w:rPr>
      </w:pPr>
    </w:p>
    <w:p>
      <w:pPr>
        <w:ind w:right="180" w:firstLine="489"/>
        <w:spacing w:after="0" w:line="260" w:lineRule="auto"/>
        <w:rPr>
          <w:sz w:val="20"/>
          <w:szCs w:val="20"/>
          <w:color w:val="auto"/>
        </w:rPr>
      </w:pPr>
      <w:r>
        <w:rPr>
          <w:rFonts w:ascii="Times New Roman" w:cs="Times New Roman" w:eastAsia="Times New Roman" w:hAnsi="Times New Roman"/>
          <w:sz w:val="20"/>
          <w:szCs w:val="20"/>
          <w:color w:val="auto"/>
        </w:rPr>
        <w:t>The weighted average grant date fair value of stock options granted during the years ended December 31, 2025, 2024 and 2023, excluding grants of performance stock options under the Performance Option Award, was $5.97, $5.59 and $2.74 per share,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Company’s activity for grants of performance stock options under the</w:t>
      </w:r>
    </w:p>
    <w:p>
      <w:pPr>
        <w:spacing w:after="0"/>
        <w:rPr>
          <w:sz w:val="20"/>
          <w:szCs w:val="20"/>
          <w:color w:val="auto"/>
        </w:rPr>
      </w:pPr>
      <w:r>
        <w:rPr>
          <w:rFonts w:ascii="Times New Roman" w:cs="Times New Roman" w:eastAsia="Times New Roman" w:hAnsi="Times New Roman"/>
          <w:sz w:val="20"/>
          <w:szCs w:val="20"/>
          <w:color w:val="auto"/>
        </w:rPr>
        <w:t>Performance Option Award: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Issuable</w:t>
            </w: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Under</w:t>
            </w: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920" w:type="dxa"/>
            <w:vAlign w:val="bottom"/>
            <w:gridSpan w:val="5"/>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Contractual   Intrinsic</w:t>
            </w: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56"/>
        </w:trPr>
        <w:tc>
          <w:tcPr>
            <w:tcW w:w="5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8"/>
              </w:rPr>
              <w:t xml:space="preserve">Outstanding as of December 31, 2024 </w:t>
            </w:r>
            <w:r>
              <w:rPr>
                <w:rFonts w:ascii="Times New Roman" w:cs="Times New Roman" w:eastAsia="Times New Roman" w:hAnsi="Times New Roman"/>
                <w:sz w:val="20"/>
                <w:szCs w:val="20"/>
                <w:color w:val="auto"/>
                <w:w w:val="98"/>
              </w:rPr>
              <w:t>. . . . . . . . . . . . . . . . . . . . . . . . .</w:t>
            </w: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9"/>
              </w:rPr>
              <w:t>(In years)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860" w:type="dxa"/>
            <w:vAlign w:val="bottom"/>
            <w:gridSpan w:val="2"/>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586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0"/>
                <w:szCs w:val="20"/>
                <w:color w:val="auto"/>
              </w:rPr>
              <w:t>Granted . . . . . . . . . . . . . . . . . . . . . . . . . . . . . . . . . . . . . . . . . . . . . . .</w:t>
            </w: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2,750,000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7.44</w:t>
            </w:r>
          </w:p>
        </w:tc>
        <w:tc>
          <w:tcPr>
            <w:tcW w:w="10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9.13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8"/>
              </w:rPr>
              <w:t xml:space="preserve">Outstanding as of December 31, 2025 </w:t>
            </w:r>
            <w:r>
              <w:rPr>
                <w:rFonts w:ascii="Times New Roman" w:cs="Times New Roman" w:eastAsia="Times New Roman" w:hAnsi="Times New Roman"/>
                <w:sz w:val="20"/>
                <w:szCs w:val="20"/>
                <w:color w:val="auto"/>
                <w:w w:val="98"/>
              </w:rPr>
              <w:t>. . . . . . . . . . . . . . . . . . . . . . . .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12,925</w:t>
            </w:r>
          </w:p>
        </w:tc>
        <w:tc>
          <w:tcPr>
            <w:tcW w:w="0" w:type="dxa"/>
            <w:vAlign w:val="bottom"/>
          </w:tcPr>
          <w:p>
            <w:pPr>
              <w:spacing w:after="0"/>
              <w:rPr>
                <w:sz w:val="1"/>
                <w:szCs w:val="1"/>
                <w:color w:val="auto"/>
              </w:rPr>
            </w:pPr>
          </w:p>
        </w:tc>
      </w:tr>
      <w:tr>
        <w:trPr>
          <w:trHeight w:val="243"/>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 . . . .</w:t>
            </w:r>
            <w:r>
              <w:rPr>
                <w:rFonts w:ascii="Times New Roman" w:cs="Times New Roman" w:eastAsia="Times New Roman" w:hAnsi="Times New Roman"/>
                <w:sz w:val="20"/>
                <w:szCs w:val="20"/>
                <w:b w:val="1"/>
                <w:bCs w:val="1"/>
                <w:color w:val="auto"/>
              </w:rPr>
              <w:t>OptionsvestedandexpectedtovestasofDecember31,2025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12,925</w:t>
            </w:r>
          </w:p>
        </w:tc>
        <w:tc>
          <w:tcPr>
            <w:tcW w:w="0" w:type="dxa"/>
            <w:vAlign w:val="bottom"/>
          </w:tcPr>
          <w:p>
            <w:pPr>
              <w:spacing w:after="0"/>
              <w:rPr>
                <w:sz w:val="1"/>
                <w:szCs w:val="1"/>
                <w:color w:val="auto"/>
              </w:rPr>
            </w:pPr>
          </w:p>
        </w:tc>
      </w:tr>
      <w:tr>
        <w:trPr>
          <w:trHeight w:val="243"/>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 xml:space="preserve">Options exercisable as of December 31, 2025 </w:t>
            </w:r>
            <w:r>
              <w:rPr>
                <w:rFonts w:ascii="Times New Roman" w:cs="Times New Roman" w:eastAsia="Times New Roman" w:hAnsi="Times New Roman"/>
                <w:sz w:val="20"/>
                <w:szCs w:val="20"/>
                <w:color w:val="auto"/>
                <w:w w:val="98"/>
              </w:rPr>
              <w:t>. . . . . . . . . . . . . . . . . . .</w:t>
            </w: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firstLine="490"/>
        <w:spacing w:after="0" w:line="280" w:lineRule="auto"/>
        <w:rPr>
          <w:sz w:val="20"/>
          <w:szCs w:val="20"/>
          <w:color w:val="auto"/>
        </w:rPr>
      </w:pPr>
      <w:r>
        <w:rPr>
          <w:rFonts w:ascii="Times New Roman" w:cs="Times New Roman" w:eastAsia="Times New Roman" w:hAnsi="Times New Roman"/>
          <w:sz w:val="20"/>
          <w:szCs w:val="20"/>
          <w:color w:val="auto"/>
        </w:rPr>
        <w:t>The weighted average grant date fair value of performance stock options granted under the Performance Option Award during the year ended December 31, 2025 was $5.66 per share.</w:t>
      </w:r>
    </w:p>
    <w:p>
      <w:pPr>
        <w:sectPr>
          <w:pgSz w:w="11880" w:h="15480" w:orient="portrait"/>
          <w:cols w:equalWidth="0" w:num="1">
            <w:col w:w="9720"/>
          </w:cols>
          <w:pgMar w:left="1080" w:top="106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9720"/>
          </w:cols>
          <w:pgMar w:left="1080" w:top="1067" w:right="1080" w:bottom="0" w:gutter="0" w:footer="0" w:header="0"/>
          <w:type w:val="continuous"/>
        </w:sectPr>
      </w:pPr>
    </w:p>
    <w:bookmarkStart w:id="174" w:name="page175"/>
    <w:bookmarkEnd w:id="174"/>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RSUs</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Company’s activity of unvested RSUs: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grant date</w:t>
            </w:r>
          </w:p>
        </w:tc>
        <w:tc>
          <w:tcPr>
            <w:tcW w:w="0" w:type="dxa"/>
            <w:vAlign w:val="bottom"/>
          </w:tcPr>
          <w:p>
            <w:pPr>
              <w:spacing w:after="0"/>
              <w:rPr>
                <w:sz w:val="1"/>
                <w:szCs w:val="1"/>
                <w:color w:val="auto"/>
              </w:rPr>
            </w:pPr>
          </w:p>
        </w:tc>
      </w:tr>
      <w:tr>
        <w:trPr>
          <w:trHeight w:val="205"/>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Unvested balance at December 31, 2024</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7"/>
                <w:szCs w:val="17"/>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2"/>
        </w:trPr>
        <w:tc>
          <w:tcPr>
            <w:tcW w:w="7400" w:type="dxa"/>
            <w:vAlign w:val="bottom"/>
            <w:gridSpan w:val="2"/>
            <w:vMerge w:val="continue"/>
          </w:tcPr>
          <w:p>
            <w:pPr>
              <w:jc w:val="right"/>
              <w:ind w:right="360"/>
              <w:spacing w:after="0" w:line="180" w:lineRule="exact"/>
              <w:rPr>
                <w:sz w:val="20"/>
                <w:szCs w:val="20"/>
                <w:color w:val="auto"/>
              </w:rPr>
            </w:pPr>
            <w:r>
              <w:rPr>
                <w:rFonts w:ascii="Times New Roman" w:cs="Times New Roman" w:eastAsia="Times New Roman" w:hAnsi="Times New Roman"/>
                <w:sz w:val="20"/>
                <w:szCs w:val="20"/>
                <w:color w:val="auto"/>
              </w:rPr>
              <w:t>. . . . . . . . . . . . . . . . . . . . . . . . . . . . . . . . . . . . . .</w:t>
            </w: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3,389,604</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7.52</w:t>
            </w:r>
          </w:p>
        </w:tc>
        <w:tc>
          <w:tcPr>
            <w:tcW w:w="0" w:type="dxa"/>
            <w:vAlign w:val="bottom"/>
          </w:tcPr>
          <w:p>
            <w:pPr>
              <w:spacing w:after="0"/>
              <w:rPr>
                <w:sz w:val="1"/>
                <w:szCs w:val="1"/>
                <w:color w:val="auto"/>
              </w:rPr>
            </w:pPr>
          </w:p>
        </w:tc>
      </w:tr>
      <w:tr>
        <w:trPr>
          <w:trHeight w:val="232"/>
        </w:trPr>
        <w:tc>
          <w:tcPr>
            <w:tcW w:w="74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2,779,643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0" w:type="dxa"/>
            <w:vAlign w:val="bottom"/>
          </w:tcPr>
          <w:p>
            <w:pPr>
              <w:spacing w:after="0"/>
              <w:rPr>
                <w:sz w:val="1"/>
                <w:szCs w:val="1"/>
                <w:color w:val="auto"/>
              </w:rPr>
            </w:pPr>
          </w:p>
        </w:tc>
      </w:tr>
      <w:tr>
        <w:trPr>
          <w:trHeight w:val="233"/>
        </w:trPr>
        <w:tc>
          <w:tcPr>
            <w:tcW w:w="74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Released . . . . . . . . . . . . . . . . . . . . . . . . . . . . . . . . . . . . . . . . . . . . . . . . . . . . . . . . . . . . .</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(1,551,706)</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0" w:type="dxa"/>
            <w:vAlign w:val="bottom"/>
          </w:tcPr>
          <w:p>
            <w:pPr>
              <w:spacing w:after="0"/>
              <w:rPr>
                <w:sz w:val="1"/>
                <w:szCs w:val="1"/>
                <w:color w:val="auto"/>
              </w:rPr>
            </w:pPr>
          </w:p>
        </w:tc>
      </w:tr>
      <w:tr>
        <w:trPr>
          <w:trHeight w:val="241"/>
        </w:trPr>
        <w:tc>
          <w:tcPr>
            <w:tcW w:w="74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Cancelled/forfeited . . . . . . . . . . . . . . . . . . . . . . . . . . . . . . . . . . . . . . . . . . . . . . . . . . . .</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(258,170)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0" w:type="dxa"/>
            <w:vAlign w:val="bottom"/>
          </w:tcPr>
          <w:p>
            <w:pPr>
              <w:spacing w:after="0"/>
              <w:rPr>
                <w:sz w:val="1"/>
                <w:szCs w:val="1"/>
                <w:color w:val="auto"/>
              </w:rPr>
            </w:pPr>
          </w:p>
        </w:tc>
      </w:tr>
      <w:tr>
        <w:trPr>
          <w:trHeight w:val="243"/>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 xml:space="preserve">Unvested balance at December 31, 2025 </w:t>
            </w:r>
            <w:r>
              <w:rPr>
                <w:rFonts w:ascii="Times New Roman" w:cs="Times New Roman" w:eastAsia="Times New Roman" w:hAnsi="Times New Roman"/>
                <w:sz w:val="20"/>
                <w:szCs w:val="20"/>
                <w:color w:val="auto"/>
                <w:w w:val="97"/>
              </w:rPr>
              <w:t>. . . . . . . . . . . . . . . . . . . . . . . . . . . . . . . . . . . . . .</w:t>
            </w:r>
          </w:p>
        </w:tc>
        <w:tc>
          <w:tcPr>
            <w:tcW w:w="20" w:type="dxa"/>
            <w:vAlign w:val="bottom"/>
            <w:tcBorders>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4,359,371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489"/>
        <w:spacing w:after="0" w:line="280" w:lineRule="auto"/>
        <w:rPr>
          <w:sz w:val="20"/>
          <w:szCs w:val="20"/>
          <w:color w:val="auto"/>
        </w:rPr>
      </w:pPr>
      <w:r>
        <w:rPr>
          <w:rFonts w:ascii="Times New Roman" w:cs="Times New Roman" w:eastAsia="Times New Roman" w:hAnsi="Times New Roman"/>
          <w:sz w:val="20"/>
          <w:szCs w:val="20"/>
          <w:color w:val="auto"/>
        </w:rPr>
        <w:t>Each RSU is equivalent to one share of common stock upon vesting. Holders of RSUs are not entitled to vote on any matters and are not entitled to dividends.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PSUs</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Company’s activity of unvested PSUs: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grant date</w:t>
            </w:r>
          </w:p>
        </w:tc>
        <w:tc>
          <w:tcPr>
            <w:tcW w:w="0" w:type="dxa"/>
            <w:vAlign w:val="bottom"/>
          </w:tcPr>
          <w:p>
            <w:pPr>
              <w:spacing w:after="0"/>
              <w:rPr>
                <w:sz w:val="1"/>
                <w:szCs w:val="1"/>
                <w:color w:val="auto"/>
              </w:rPr>
            </w:pPr>
          </w:p>
        </w:tc>
      </w:tr>
      <w:tr>
        <w:trPr>
          <w:trHeight w:val="205"/>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Unvested balance at December 31, 2024</w:t>
            </w:r>
          </w:p>
        </w:tc>
        <w:tc>
          <w:tcPr>
            <w:tcW w:w="10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PSU's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1"/>
        </w:trPr>
        <w:tc>
          <w:tcPr>
            <w:tcW w:w="7400" w:type="dxa"/>
            <w:vAlign w:val="bottom"/>
            <w:gridSpan w:val="2"/>
            <w:vMerge w:val="continue"/>
          </w:tcPr>
          <w:p>
            <w:pPr>
              <w:jc w:val="right"/>
              <w:ind w:right="3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w:t>
            </w:r>
          </w:p>
        </w:tc>
        <w:tc>
          <w:tcPr>
            <w:tcW w:w="10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3"/>
        </w:trPr>
        <w:tc>
          <w:tcPr>
            <w:tcW w:w="74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0" w:type="dxa"/>
            <w:vAlign w:val="bottom"/>
          </w:tcPr>
          <w:p>
            <w:pPr>
              <w:spacing w:after="0"/>
              <w:rPr>
                <w:sz w:val="1"/>
                <w:szCs w:val="1"/>
                <w:color w:val="auto"/>
              </w:rPr>
            </w:pPr>
          </w:p>
        </w:tc>
      </w:tr>
      <w:tr>
        <w:trPr>
          <w:trHeight w:val="232"/>
        </w:trPr>
        <w:tc>
          <w:tcPr>
            <w:tcW w:w="74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Released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74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Cancelled/forfeited . . . . . . . . . . . . . . . . . . . . . . . . . . . . . . . . . . . . . . . . . . . . . . . . . . .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738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 xml:space="preserve">Unvested balance at December 31, 2025 </w:t>
            </w:r>
            <w:r>
              <w:rPr>
                <w:rFonts w:ascii="Times New Roman" w:cs="Times New Roman" w:eastAsia="Times New Roman" w:hAnsi="Times New Roman"/>
                <w:sz w:val="20"/>
                <w:szCs w:val="20"/>
                <w:color w:val="auto"/>
                <w:w w:val="97"/>
              </w:rPr>
              <w:t>. . . . . . . . . . . . . . . . . . . . . . . . . . . . . . . . . . . . . .</w:t>
            </w: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firstLine="490"/>
        <w:spacing w:after="0" w:line="280" w:lineRule="auto"/>
        <w:rPr>
          <w:sz w:val="20"/>
          <w:szCs w:val="20"/>
          <w:color w:val="auto"/>
        </w:rPr>
      </w:pPr>
      <w:r>
        <w:rPr>
          <w:rFonts w:ascii="Times New Roman" w:cs="Times New Roman" w:eastAsia="Times New Roman" w:hAnsi="Times New Roman"/>
          <w:sz w:val="20"/>
          <w:szCs w:val="20"/>
          <w:color w:val="auto"/>
        </w:rPr>
        <w:t>Each PSU is equivalent to one share of common stock upon vesting. Holders of PSUs are not entitled to vote on any matters and are not entitled to dividends.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8" w:lineRule="exact"/>
        <w:rPr>
          <w:sz w:val="20"/>
          <w:szCs w:val="20"/>
          <w:color w:val="auto"/>
        </w:rPr>
      </w:pPr>
    </w:p>
    <w:p>
      <w:pPr>
        <w:ind w:right="40" w:firstLine="490"/>
        <w:spacing w:after="0" w:line="280" w:lineRule="auto"/>
        <w:rPr>
          <w:sz w:val="20"/>
          <w:szCs w:val="20"/>
          <w:color w:val="auto"/>
        </w:rPr>
      </w:pPr>
      <w:r>
        <w:rPr>
          <w:rFonts w:ascii="Times New Roman" w:cs="Times New Roman" w:eastAsia="Times New Roman" w:hAnsi="Times New Roman"/>
          <w:sz w:val="20"/>
          <w:szCs w:val="20"/>
          <w:color w:val="auto"/>
        </w:rPr>
        <w:t>The Company recorded stock-based compensation expense in the following expense categories of its statements of operations and comprehensive loss: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bottom w:val="single" w:sz="8" w:color="auto"/>
            </w:tcBorders>
            <w:gridSpan w:val="9"/>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780" w:type="dxa"/>
            <w:vAlign w:val="bottom"/>
            <w:tcBorders>
              <w:bottom w:val="single" w:sz="8" w:color="auto"/>
            </w:tcBorders>
          </w:tcPr>
          <w:p>
            <w:pPr>
              <w:jc w:val="right"/>
              <w:ind w:right="14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700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99"/>
              </w:rPr>
              <w:t>$ 13,389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9,276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4,508</w:t>
            </w:r>
          </w:p>
        </w:tc>
        <w:tc>
          <w:tcPr>
            <w:tcW w:w="0" w:type="dxa"/>
            <w:vAlign w:val="bottom"/>
          </w:tcPr>
          <w:p>
            <w:pPr>
              <w:spacing w:after="0"/>
              <w:rPr>
                <w:sz w:val="1"/>
                <w:szCs w:val="1"/>
                <w:color w:val="auto"/>
              </w:rPr>
            </w:pPr>
          </w:p>
        </w:tc>
      </w:tr>
      <w:tr>
        <w:trPr>
          <w:trHeight w:val="229"/>
        </w:trPr>
        <w:tc>
          <w:tcPr>
            <w:tcW w:w="70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Selling and marketing . . .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3,682</w:t>
            </w:r>
          </w:p>
        </w:tc>
        <w:tc>
          <w:tcPr>
            <w:tcW w:w="0" w:type="dxa"/>
            <w:vAlign w:val="bottom"/>
          </w:tcPr>
          <w:p>
            <w:pPr>
              <w:spacing w:after="0"/>
              <w:rPr>
                <w:sz w:val="1"/>
                <w:szCs w:val="1"/>
                <w:color w:val="auto"/>
              </w:rPr>
            </w:pPr>
          </w:p>
        </w:tc>
      </w:tr>
      <w:tr>
        <w:trPr>
          <w:trHeight w:val="252"/>
        </w:trPr>
        <w:tc>
          <w:tcPr>
            <w:tcW w:w="70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General and administrative . . . . . . . . . . . . . . . . . . . . . . . . . . . . . . . . . . . . . . . . . . . . . .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20,762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9,635</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$ 43,184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33,109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17,825</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As of December 31, 2025, the Company had an aggregate of $79,426 of unrecognized stock-based compensation cost, which is expected to be recognized over a weighted average period of 2.32 years.</w:t>
      </w:r>
    </w:p>
    <w:p>
      <w:pPr>
        <w:sectPr>
          <w:pgSz w:w="11880" w:h="15480" w:orient="portrait"/>
          <w:cols w:equalWidth="0" w:num="1">
            <w:col w:w="9720"/>
          </w:cols>
          <w:pgMar w:left="1080" w:top="106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9720"/>
          </w:cols>
          <w:pgMar w:left="1080" w:top="1067" w:right="1080" w:bottom="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color w:val="auto"/>
        </w:rPr>
        <w:t>14. Employee Benefits</w:t>
      </w:r>
    </w:p>
    <w:p>
      <w:pPr>
        <w:spacing w:after="0" w:line="242"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The Company established a defined contribution savings plan under Section 401(k) of the Internal Revenue Code (the “401(k) Plan”). The 401(k) Plan covers substantially all employees who meet minimum age and service requirements and allows participants to defer a portion of their annual compensation based on a pre-tax or post-tax basis as elected by the participants. Company contributions to the plan may be made at the discretion of the board of directors. For the years ended December 31, 2025, 2024 and 2023, the Company has made contributions of $703, $675, and $625, respectively, to the 401(k)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242"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recorded no income tax benefits for the net operating losses incurred or the research and development tax credits generated in each year, due to its uncertainty of realizing a benefit from those items. During the years ended December 31, 2025, 2024 and 2023, the Company did not make any material payments of U.S federal, state, or local income taxes.</w:t>
      </w:r>
    </w:p>
    <w:p>
      <w:pPr>
        <w:spacing w:after="0" w:line="191" w:lineRule="exact"/>
        <w:rPr>
          <w:sz w:val="20"/>
          <w:szCs w:val="20"/>
          <w:color w:val="auto"/>
        </w:rPr>
      </w:pPr>
    </w:p>
    <w:p>
      <w:pPr>
        <w:ind w:right="280" w:firstLine="489"/>
        <w:spacing w:after="0" w:line="280" w:lineRule="auto"/>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for the year ended December 31, 2025 is as follows:</w:t>
      </w:r>
    </w:p>
    <w:p>
      <w:pPr>
        <w:spacing w:after="0" w:line="17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bl>
      <w:tblPr>
        <w:tblLayout w:type="fixed"/>
        <w:tblInd w:w="0" w:type="dxa"/>
        <w:tblCellMar>
          <w:top w:w="0" w:type="dxa"/>
          <w:left w:w="0" w:type="dxa"/>
          <w:bottom w:w="0" w:type="dxa"/>
          <w:right w:w="0" w:type="dxa"/>
        </w:tblCellMar>
      </w:tblPr>
      <w:tr>
        <w:trPr>
          <w:trHeight w:val="205"/>
        </w:trPr>
        <w:tc>
          <w:tcPr>
            <w:tcW w:w="7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2"/>
        </w:trPr>
        <w:tc>
          <w:tcPr>
            <w:tcW w:w="7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tcPr>
          <w:p>
            <w:pPr>
              <w:jc w:val="right"/>
              <w:ind w:right="460"/>
              <w:spacing w:after="0" w:line="152" w:lineRule="exact"/>
              <w:rPr>
                <w:sz w:val="20"/>
                <w:szCs w:val="20"/>
                <w:color w:val="auto"/>
              </w:rPr>
            </w:pPr>
            <w:r>
              <w:rPr>
                <w:rFonts w:ascii="Times New Roman" w:cs="Times New Roman" w:eastAsia="Times New Roman" w:hAnsi="Times New Roman"/>
                <w:sz w:val="16"/>
                <w:szCs w:val="16"/>
                <w:i w:val="1"/>
                <w:iCs w:val="1"/>
                <w:color w:val="auto"/>
              </w:rPr>
              <w:t>Amount</w:t>
            </w:r>
          </w:p>
        </w:tc>
        <w:tc>
          <w:tcPr>
            <w:tcW w:w="74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i w:val="1"/>
                <w:iCs w:val="1"/>
                <w:color w:val="auto"/>
              </w:rPr>
              <w:t>Percent</w:t>
            </w:r>
          </w:p>
        </w:tc>
        <w:tc>
          <w:tcPr>
            <w:tcW w:w="180" w:type="dxa"/>
            <w:vAlign w:val="bottom"/>
          </w:tcPr>
          <w:p>
            <w:pPr>
              <w:spacing w:after="0"/>
              <w:rPr>
                <w:sz w:val="13"/>
                <w:szCs w:val="13"/>
                <w:color w:val="auto"/>
              </w:rPr>
            </w:pPr>
          </w:p>
        </w:tc>
      </w:tr>
      <w:tr>
        <w:trPr>
          <w:trHeight w:val="230"/>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U.S. federal statutory income tax rate . . . . . . . . . . . . . . . . . . . . . . . . . . . . . . . . . . . . . . . . .</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29"/>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State and local income taxes, net of federal income tax effect . . . . . . . . . . . . . . . . . . . . .</w:t>
            </w:r>
          </w:p>
        </w:tc>
        <w:tc>
          <w:tcPr>
            <w:tcW w:w="220" w:type="dxa"/>
            <w:vAlign w:val="bottom"/>
          </w:tcPr>
          <w:p>
            <w:pPr>
              <w:spacing w:after="0"/>
              <w:rPr>
                <w:sz w:val="19"/>
                <w:szCs w:val="19"/>
                <w:color w:val="auto"/>
              </w:rPr>
            </w:pPr>
          </w:p>
        </w:tc>
        <w:tc>
          <w:tcPr>
            <w:tcW w:w="1220" w:type="dxa"/>
            <w:vAlign w:val="bottom"/>
            <w:gridSpan w:val="4"/>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Effect of changes in tax laws or rates enacted in the current period . . . . . . . . . . . . . . . . .</w:t>
            </w:r>
          </w:p>
        </w:tc>
        <w:tc>
          <w:tcPr>
            <w:tcW w:w="220" w:type="dxa"/>
            <w:vAlign w:val="bottom"/>
          </w:tcPr>
          <w:p>
            <w:pPr>
              <w:spacing w:after="0"/>
              <w:rPr>
                <w:sz w:val="20"/>
                <w:szCs w:val="20"/>
                <w:color w:val="auto"/>
              </w:rPr>
            </w:pPr>
          </w:p>
        </w:tc>
        <w:tc>
          <w:tcPr>
            <w:tcW w:w="1220" w:type="dxa"/>
            <w:vAlign w:val="bottom"/>
            <w:gridSpan w:val="4"/>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Research and development tax credits . . . . . . . . . . . . . . . . . . . . . . . . . . . . . . . . . . . . . .</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spacing w:after="0"/>
              <w:rPr>
                <w:sz w:val="20"/>
                <w:szCs w:val="20"/>
                <w:color w:val="auto"/>
              </w:rPr>
            </w:pPr>
          </w:p>
        </w:tc>
      </w:tr>
      <w:tr>
        <w:trPr>
          <w:trHeight w:val="230"/>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Changes in the valuation allowance . . . . . . . . . . . . . . . . . . . . . . . . . . . . . . . . . . . . . . . . . . .</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(56,316)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(21.1)</w:t>
            </w:r>
          </w:p>
        </w:tc>
      </w:tr>
      <w:tr>
        <w:trPr>
          <w:trHeight w:val="229"/>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Officers Compensation . . . . . . . . . . . . . . . . . . . . . . . . . . . . . . . . . . . . . . . . . . . . . . . . . .</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(2,856)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 . . . . . .</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(0.3)</w:t>
            </w:r>
          </w:p>
        </w:tc>
      </w:tr>
      <w:tr>
        <w:trPr>
          <w:trHeight w:val="241"/>
        </w:trPr>
        <w:tc>
          <w:tcPr>
            <w:tcW w:w="7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Other adjustments . . . . . . . . . . . . . . . . . . . . . . . . . . . . . . . . . . . . . . . . . . . . . . . . . . . . . . . . .</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(0.4)</w:t>
            </w:r>
          </w:p>
        </w:tc>
      </w:tr>
      <w:tr>
        <w:trPr>
          <w:trHeight w:val="240"/>
        </w:trPr>
        <w:tc>
          <w:tcPr>
            <w:tcW w:w="72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Effective income tax rate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bl>
    <w:p>
      <w:pPr>
        <w:spacing w:after="0" w:line="208" w:lineRule="exact"/>
        <w:rPr>
          <w:sz w:val="20"/>
          <w:szCs w:val="20"/>
          <w:color w:val="auto"/>
        </w:rPr>
      </w:pPr>
    </w:p>
    <w:p>
      <w:pPr>
        <w:ind w:right="280" w:firstLine="489"/>
        <w:spacing w:after="0" w:line="280" w:lineRule="auto"/>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for the years ended December 31, 2024 and 2023, respectively,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6"/>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900" w:type="dxa"/>
            <w:vAlign w:val="bottom"/>
            <w:tcBorders>
              <w:top w:val="single" w:sz="8" w:color="auto"/>
              <w:bottom w:val="single" w:sz="8" w:color="auto"/>
            </w:tcBorders>
          </w:tcPr>
          <w:p>
            <w:pPr>
              <w:jc w:val="right"/>
              <w:ind w:right="204"/>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02"/>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17"/>
        </w:trPr>
        <w:tc>
          <w:tcPr>
            <w:tcW w:w="7340" w:type="dxa"/>
            <w:vAlign w:val="bottom"/>
            <w:gridSpan w:val="2"/>
            <w:vMerge w:val="continue"/>
          </w:tcPr>
          <w:p>
            <w:pPr>
              <w:jc w:val="right"/>
              <w:ind w:right="300"/>
              <w:spacing w:after="0" w:line="180"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9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21.0</w:t>
            </w:r>
          </w:p>
        </w:tc>
        <w:tc>
          <w:tcPr>
            <w:tcW w:w="2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21.0</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Tax reform change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Research and development tax credits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State taxes, net of federal benefit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 . . .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32"/>
        </w:trPr>
        <w:tc>
          <w:tcPr>
            <w:tcW w:w="7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Change in tax rate . . . . . . . . . . . . . . . . . . . . . . . . . . . . . . . . . . . . . . . . . . . . . . . . . . . . .</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33"/>
        </w:trPr>
        <w:tc>
          <w:tcPr>
            <w:tcW w:w="7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Debt extinguishment . . . . . . . . . . . . . . . . . . . . . . . . . . . . . . . . . . . . . . . . . . . . . . . . . .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 .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42"/>
        </w:trPr>
        <w:tc>
          <w:tcPr>
            <w:tcW w:w="73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Change in the valuation allowance . . . . . . . . . . . . . . . . . . . . . . . . . . . . . . . . . . . . . .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(21.4)</w:t>
            </w:r>
          </w:p>
        </w:tc>
        <w:tc>
          <w:tcPr>
            <w:tcW w:w="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(23.7)</w:t>
            </w:r>
          </w:p>
        </w:tc>
        <w:tc>
          <w:tcPr>
            <w:tcW w:w="0" w:type="dxa"/>
            <w:vAlign w:val="bottom"/>
          </w:tcPr>
          <w:p>
            <w:pPr>
              <w:spacing w:after="0"/>
              <w:rPr>
                <w:sz w:val="1"/>
                <w:szCs w:val="1"/>
                <w:color w:val="auto"/>
              </w:rPr>
            </w:pPr>
          </w:p>
        </w:tc>
      </w:tr>
      <w:tr>
        <w:trPr>
          <w:trHeight w:val="242"/>
        </w:trPr>
        <w:tc>
          <w:tcPr>
            <w:tcW w:w="73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Effective income tax rate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Changes in the valuation of the Royalty Fee Derivative Liability, except to the extent that they relate to actual royalties paid or accrued, do not provide a future tax benefit. To the extent the deferred tax asset related to the Royalty Fee Derivative Liability exceeds the deferred tax liability related to the Barings Credit Agreement, the excess is recorded as a permanent item.</w:t>
      </w:r>
    </w:p>
    <w:p>
      <w:pPr>
        <w:sectPr>
          <w:pgSz w:w="11880" w:h="15480" w:orient="portrait"/>
          <w:cols w:equalWidth="0" w:num="1">
            <w:col w:w="9700"/>
          </w:cols>
          <w:pgMar w:left="1080" w:top="1062"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9700"/>
          </w:cols>
          <w:pgMar w:left="1080" w:top="1062" w:right="1100" w:bottom="0" w:gutter="0" w:footer="0" w:header="0"/>
          <w:type w:val="continuous"/>
        </w:sectPr>
      </w:pPr>
    </w:p>
    <w:bookmarkStart w:id="176" w:name="page177"/>
    <w:bookmarkEnd w:id="176"/>
    <w:p>
      <w:pPr>
        <w:ind w:left="500"/>
        <w:spacing w:after="0"/>
        <w:rPr>
          <w:sz w:val="20"/>
          <w:szCs w:val="20"/>
          <w:color w:val="auto"/>
        </w:rPr>
      </w:pPr>
      <w:r>
        <w:rPr>
          <w:rFonts w:ascii="Times New Roman" w:cs="Times New Roman" w:eastAsia="Times New Roman" w:hAnsi="Times New Roman"/>
          <w:sz w:val="20"/>
          <w:szCs w:val="20"/>
          <w:color w:val="auto"/>
        </w:rPr>
        <w:t>Net deferred tax assets consisted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7"/>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2"/>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1"/>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Net operating loss carryforwards . .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189,192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Tax credit carryforwards . . . . . . . . . . . . . . . . . . . . . . . . . . . . . . . . . . . . . . . . . . . . . . . . . . . .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Capitalized research and development expenses, net - Sec. 59(e):  . . . . . . . . . . . . . . . . . .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Capitalized research and development expenses, net Sec. 174 . . . . . . . . . . . . . . . . . . . . . .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Operating lease liabilities . . . . . . . . . . . . . . . . . . . . . . . . . . . . . . . . . . . . . . . . . . . . . . . . . . . .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Derivative liability . . . . . . . . . . . . . . . . . . . . . . . . . . . . . . . . . . . . . . . . . . . . . . . . . . . . . . . . .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Stock-based Awards . . . . . . . . . . . . . . . . . . . . . . . . . . . . . . . . . . . . . . . . . . . . . . . . . . . . . . . .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Accrued expenses and other . . . . . . . . . . . . . . . . . . . . . . . . . . . . . . . . . . . . . . . . . . . . . . . . . .</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10,807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580" w:type="dxa"/>
            <w:vAlign w:val="bottom"/>
            <w:gridSpan w:val="2"/>
          </w:tcPr>
          <w:p>
            <w:pPr>
              <w:jc w:val="right"/>
              <w:ind w:right="340"/>
              <w:spacing w:after="0" w:line="211" w:lineRule="exact"/>
              <w:rPr>
                <w:sz w:val="20"/>
                <w:szCs w:val="20"/>
                <w:color w:val="auto"/>
              </w:rPr>
            </w:pPr>
            <w:r>
              <w:rPr>
                <w:rFonts w:ascii="Times New Roman" w:cs="Times New Roman" w:eastAsia="Times New Roman" w:hAnsi="Times New Roman"/>
                <w:sz w:val="20"/>
                <w:szCs w:val="20"/>
                <w:color w:val="auto"/>
              </w:rPr>
              <w:t>. . . . . . . . . . . . . . . . . . . . . . . . . . . . . . . . . . . . . . . . . . . . . . . . . .Totaldeferredtaxassets</w:t>
            </w:r>
          </w:p>
        </w:tc>
        <w:tc>
          <w:tcPr>
            <w:tcW w:w="140" w:type="dxa"/>
            <w:vAlign w:val="bottom"/>
          </w:tcPr>
          <w:p>
            <w:pPr>
              <w:spacing w:after="0"/>
              <w:rPr>
                <w:sz w:val="18"/>
                <w:szCs w:val="18"/>
                <w:color w:val="auto"/>
              </w:rPr>
            </w:pPr>
          </w:p>
        </w:tc>
        <w:tc>
          <w:tcPr>
            <w:tcW w:w="8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295,534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228,877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Valuation allowance . . . . . . . . . . . . . . . . . . . . . . . . . . . . . . . . . . . . . . . . . . . . . . . . . . . . . . . . . .</w:t>
            </w:r>
          </w:p>
        </w:tc>
        <w:tc>
          <w:tcPr>
            <w:tcW w:w="14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(292,449)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(225,248)</w:t>
            </w:r>
          </w:p>
        </w:tc>
        <w:tc>
          <w:tcPr>
            <w:tcW w:w="0" w:type="dxa"/>
            <w:vAlign w:val="bottom"/>
          </w:tcPr>
          <w:p>
            <w:pPr>
              <w:spacing w:after="0"/>
              <w:rPr>
                <w:sz w:val="1"/>
                <w:szCs w:val="1"/>
                <w:color w:val="auto"/>
              </w:rPr>
            </w:pPr>
          </w:p>
        </w:tc>
      </w:tr>
      <w:tr>
        <w:trPr>
          <w:trHeight w:val="267"/>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 . . . . . . . . . . . . . . . . . . . . . . . . . . . . . . . . . . . . . . . . . . . . . . . . . . . . . .Netdeferredtaxassets</w:t>
            </w:r>
          </w:p>
        </w:tc>
        <w:tc>
          <w:tcPr>
            <w:tcW w:w="1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3,085</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9"/>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Operating lease right of use assets . . . . . . . . . . . . . . . . . . . . . . . . . . . . . . . . . . . . . . . . . . . . . .</w:t>
            </w: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(1,102)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(1,383)</w:t>
            </w:r>
          </w:p>
        </w:tc>
        <w:tc>
          <w:tcPr>
            <w:tcW w:w="0" w:type="dxa"/>
            <w:vAlign w:val="bottom"/>
          </w:tcPr>
          <w:p>
            <w:pPr>
              <w:spacing w:after="0"/>
              <w:rPr>
                <w:sz w:val="1"/>
                <w:szCs w:val="1"/>
                <w:color w:val="auto"/>
              </w:rPr>
            </w:pPr>
          </w:p>
        </w:tc>
      </w:tr>
      <w:tr>
        <w:trPr>
          <w:trHeight w:val="242"/>
        </w:trPr>
        <w:tc>
          <w:tcPr>
            <w:tcW w:w="7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Barings Credit Facility . . . . . . . . . . . . . . . . . . . . . . . . . . . . . . . . . . . . . . . . . . . . . . . . . . . . . . .</w:t>
            </w: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(1,983)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(2,246)</w:t>
            </w:r>
          </w:p>
        </w:tc>
        <w:tc>
          <w:tcPr>
            <w:tcW w:w="0" w:type="dxa"/>
            <w:vAlign w:val="bottom"/>
          </w:tcPr>
          <w:p>
            <w:pPr>
              <w:spacing w:after="0"/>
              <w:rPr>
                <w:sz w:val="1"/>
                <w:szCs w:val="1"/>
                <w:color w:val="auto"/>
              </w:rPr>
            </w:pPr>
          </w:p>
        </w:tc>
      </w:tr>
      <w:tr>
        <w:trPr>
          <w:trHeight w:val="221"/>
        </w:trPr>
        <w:tc>
          <w:tcPr>
            <w:tcW w:w="7580" w:type="dxa"/>
            <w:vAlign w:val="bottom"/>
            <w:gridSpan w:val="2"/>
          </w:tcPr>
          <w:p>
            <w:pPr>
              <w:jc w:val="right"/>
              <w:ind w:right="34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 . . .Totaldeferredtaxliabilities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(3,085)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Net deferred tax assets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Changes in the valuation allowance for deferred tax assets during the years ended December 31, 2025, 2024 and 2023, resulting primarily from increases in net operating loss carryforwards, additions to and amortization of capitalized research and development expenses, and increases in research and development tax credit carryforwards,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Valuation allowance as of beginning of year</w:t>
            </w:r>
          </w:p>
        </w:tc>
        <w:tc>
          <w:tcPr>
            <w:tcW w:w="860" w:type="dxa"/>
            <w:vAlign w:val="bottom"/>
          </w:tcPr>
          <w:p>
            <w:pPr>
              <w:jc w:val="right"/>
              <w:ind w:right="18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gridSpan w:val="3"/>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gridSpan w:val="3"/>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820" w:type="dxa"/>
            <w:vAlign w:val="bottom"/>
            <w:gridSpan w:val="2"/>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w:t>
            </w:r>
          </w:p>
        </w:tc>
        <w:tc>
          <w:tcPr>
            <w:tcW w:w="8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97"/>
              </w:rPr>
              <w:t>$ 225,248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97"/>
              </w:rPr>
              <w:t>$ 183,737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97"/>
              </w:rPr>
              <w:t>$ 164,546</w:t>
            </w:r>
          </w:p>
        </w:tc>
        <w:tc>
          <w:tcPr>
            <w:tcW w:w="0" w:type="dxa"/>
            <w:vAlign w:val="bottom"/>
          </w:tcPr>
          <w:p>
            <w:pPr>
              <w:spacing w:after="0"/>
              <w:rPr>
                <w:sz w:val="1"/>
                <w:szCs w:val="1"/>
                <w:color w:val="auto"/>
              </w:rPr>
            </w:pPr>
          </w:p>
        </w:tc>
      </w:tr>
      <w:tr>
        <w:trPr>
          <w:trHeight w:val="241"/>
        </w:trPr>
        <w:tc>
          <w:tcPr>
            <w:tcW w:w="6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Increases recorded to income tax provision . . . . . . . . . . . . . . . . . . . . . . . . . . .</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67,201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41,511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19,191</w:t>
            </w:r>
          </w:p>
        </w:tc>
        <w:tc>
          <w:tcPr>
            <w:tcW w:w="0" w:type="dxa"/>
            <w:vAlign w:val="bottom"/>
          </w:tcPr>
          <w:p>
            <w:pPr>
              <w:spacing w:after="0"/>
              <w:rPr>
                <w:sz w:val="1"/>
                <w:szCs w:val="1"/>
                <w:color w:val="auto"/>
              </w:rPr>
            </w:pPr>
          </w:p>
        </w:tc>
      </w:tr>
      <w:tr>
        <w:trPr>
          <w:trHeight w:val="240"/>
        </w:trPr>
        <w:tc>
          <w:tcPr>
            <w:tcW w:w="6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Valuation allowance as of end of year . . . . . . . . . . . . . . . . . . . . . . . . . . . . . . . . . . . . .</w:t>
            </w: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$ 292,449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$ 225,248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$ 183,737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As of December 31, 2025, the Company had net operating loss (“NOL”) carryforwards for federal and state income tax purposes of $777,682 and $476,526, respectively. The federal and state NOLs generated for annual periods prior to January 1, 2018 begin to expire in 2026. The Company’s federal NOLs generated for the years ended on or after December 31, 2018, which amount to a total of $651,877, can be carried forward indefinitely, although the deduction for such NOLs is limited to 80% of current year taxable income. As of December 31, 2025, the Company also had available research and development tax credit carryforwards for federal and state income tax purposes of $24,684 and $15,384, respectively, which begin to expire in 2026 and 2025, respectively. Utilization of the NOL carryforwards and research and development tax credit carryforwards may be subject to a substantial annual limitation under Section 382 of the Internal Revenue Code of 1986 (“Section 382”)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In the fourth quarter of 2025, the Company completed a study to assess whether a change of control has occurred or whether there have been multiple changes of control since inception through September 30, 2025 and including the sales of the 2025 Shares under the 2025 Offering on a pro forma basis. Based on the results of this study, the Company’s federal NOLs generated through December 31, 2024 are fully available for utilization. If the Company experiences a change of control, as defined by Section 382, in future periods, utilization of the NOL carryforwards, including those that were generated on or before December 31, 2024,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development tax credit</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1880" w:h="15480" w:orient="portrait"/>
          <w:cols w:equalWidth="0" w:num="1">
            <w:col w:w="9720"/>
          </w:cols>
          <w:pgMar w:left="1080" w:top="1064" w:right="1080" w:bottom="0" w:gutter="0" w:footer="0" w:header="0"/>
          <w:type w:val="continuous"/>
        </w:sectPr>
      </w:pPr>
    </w:p>
    <w:bookmarkStart w:id="177" w:name="page178"/>
    <w:bookmarkEnd w:id="177"/>
    <w:p>
      <w:pPr>
        <w:ind w:right="220"/>
        <w:spacing w:after="0" w:line="280" w:lineRule="auto"/>
        <w:rPr>
          <w:sz w:val="20"/>
          <w:szCs w:val="20"/>
          <w:color w:val="auto"/>
        </w:rPr>
      </w:pPr>
      <w:r>
        <w:rPr>
          <w:rFonts w:ascii="Times New Roman" w:cs="Times New Roman" w:eastAsia="Times New Roman" w:hAnsi="Times New Roman"/>
          <w:sz w:val="20"/>
          <w:szCs w:val="20"/>
          <w:color w:val="auto"/>
        </w:rPr>
        <w:t>carryforwards before utilization. Further, until a study is completed and any limitation is known, no amounts are being presented as an uncertain tax position.</w:t>
      </w:r>
    </w:p>
    <w:p>
      <w:pPr>
        <w:spacing w:after="0" w:line="164"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The Company has evaluated the positive and negative evidence bearing upon its ability to realize the deferred tax assets. Management considered the Company’s cumulative net losses and concluded that it is more likely than not that the Company would not realize the benefits of the deferred tax assets. Accordingly, a full valuation allowance was established against the net deferred tax assets as of December 31, 2025, 2024 and 2023.</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Company has not recorded any amounts for unrecognized tax benefits as of December 31, 2025, 2024 or</w:t>
      </w: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40"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that are expected to have a material impact on the Company’s Consolidated Financial Statements. The Company’s tax years are still open under statute from the Company’s fiscal year 2022 to the present. Earlier years may be examined to the extent that tax credit or net operating loss carryforwards are used in future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Net Loss Per Share</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Basic net loss per share attributable to common stockholders was calculated as follows for the years ended</w:t>
      </w:r>
    </w:p>
    <w:p>
      <w:pPr>
        <w:spacing w:after="0"/>
        <w:rPr>
          <w:sz w:val="20"/>
          <w:szCs w:val="20"/>
          <w:color w:val="auto"/>
        </w:rPr>
      </w:pPr>
      <w:r>
        <w:rPr>
          <w:rFonts w:ascii="Times New Roman" w:cs="Times New Roman" w:eastAsia="Times New Roman" w:hAnsi="Times New Roman"/>
          <w:sz w:val="20"/>
          <w:szCs w:val="20"/>
          <w:color w:val="auto"/>
        </w:rPr>
        <w:t>December 31, 2025, 2024 and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Numerator:</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8"/>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Net loss attributable to common stockholders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(265,939)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(193,506)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(80,736)</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Denominator:</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Weighted average common shares outstanding, basic . . . . . . . . .</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187,241,483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158,265,162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79,827,362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loss per share - basic . . . . . . . . . . . . . . . . .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firstLine="490"/>
        <w:spacing w:after="0" w:line="280" w:lineRule="auto"/>
        <w:rPr>
          <w:sz w:val="20"/>
          <w:szCs w:val="20"/>
          <w:color w:val="auto"/>
        </w:rPr>
      </w:pPr>
      <w:r>
        <w:rPr>
          <w:rFonts w:ascii="Times New Roman" w:cs="Times New Roman" w:eastAsia="Times New Roman" w:hAnsi="Times New Roman"/>
          <w:sz w:val="20"/>
          <w:szCs w:val="20"/>
          <w:color w:val="auto"/>
        </w:rPr>
        <w:t>As of December 31, 2025 and 2024, outstanding Pre-Funded Warrants (Note 12) of 7,568,045 and 10,805,957, respectively, are included in the calculation of basic and diluted net loss per share.</w:t>
      </w:r>
    </w:p>
    <w:p>
      <w:pPr>
        <w:spacing w:after="0" w:line="163"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For the years ended December 31, 2025 and 2024, respectively, there was no dilutive impact from potentially issuable common shares. Therefore, diluted net loss per share was the same as basic net loss per share. Diluted net loss per share was calculated as follows for the year ended December 31, 2023:</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Net loss attributable to common stockholders, basic . . . . . . . . . . . . . . . . . . . . . . . . . . . . . . . . . . . .</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Interest expense on Convertible Notes . . . . . . . . . . . . . . . . . . . . . . . . . . . . . . . . . . . . . . . . . . . . . . .</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Gain on extinguishment of debt (Note 9) . . . . . . . . . . . . . . . . . . . . . . . . . . . . . . . . . . . . . . . . . . . . .</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Change in fair value of derivative liability . . . . . . . . . . . . . . . . . . . . . . . . . . . . . . . . . . . . . . . . . . . .</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Net loss attributable to common stockholders, diluted . . . . . . . . . . . . . . . . . . . . . . . . . . . . . . .</w:t>
      </w:r>
    </w:p>
    <w:p>
      <w:pPr>
        <w:spacing w:after="0" w:line="2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Weighted average common shares outstanding, basic . . . . . . . . . . . . . . . . . . . . . . . . . . . . . . . . . . .</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Dilutive options (treasury stock method) . . . . . . . . . . . . . . . . . . . . . . . . . . . . . . . . . . . . . . . . . . . . . .</w:t>
      </w:r>
    </w:p>
    <w:p>
      <w:pPr>
        <w:spacing w:after="0" w:line="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Shares issuable in connection with conversion of Convertible Notes, as if converted. . . . . . . . . .</w:t>
      </w:r>
    </w:p>
    <w:p>
      <w:pPr>
        <w:spacing w:after="0" w:line="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Weighted average common shares outstanding, diluted . . . . . . . . . . . . . . . . . . . . . . . . . . . . . . . . . .</w:t>
      </w:r>
    </w:p>
    <w:p>
      <w:pPr>
        <w:spacing w:after="0" w:line="2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Net loss per share attributable to common stockholders, diluted . . . . . . . . . . . . . . . . . . . . . .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10" w:lineRule="exact"/>
        <w:rPr>
          <w:sz w:val="20"/>
          <w:szCs w:val="20"/>
          <w:color w:val="auto"/>
        </w:rPr>
      </w:pPr>
    </w:p>
    <w:p>
      <w:pPr>
        <w:jc w:val="both"/>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(80,736)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-135890</wp:posOffset>
                </wp:positionV>
                <wp:extent cx="78930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3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6999pt" to="62.6pt,-10.6999pt" o:allowincell="f" strokecolor="#000000" strokeweight="0.48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4,172</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(14,907)</w:t>
      </w:r>
    </w:p>
    <w:p>
      <w:pPr>
        <w:spacing w:after="0" w:line="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4,502</w:t>
      </w:r>
    </w:p>
    <w:p>
      <w:pPr>
        <w:spacing w:after="0" w:line="12"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(86,969)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-129540</wp:posOffset>
                </wp:positionV>
                <wp:extent cx="78930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30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1999pt" to="62.6pt,-10.1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23495</wp:posOffset>
                </wp:positionV>
                <wp:extent cx="78930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3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85pt" to="62.6pt,1.8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36195</wp:posOffset>
                </wp:positionV>
                <wp:extent cx="78930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3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85pt" to="62.6pt,2.85pt" o:allowincell="f" strokecolor="#000000" strokeweight="0.48pt"/>
            </w:pict>
          </mc:Fallback>
        </mc:AlternateContent>
      </w:r>
    </w:p>
    <w:p>
      <w:pPr>
        <w:spacing w:after="0" w:line="2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79,827,362</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w:t>
      </w:r>
    </w:p>
    <w:p>
      <w:pPr>
        <w:jc w:val="right"/>
        <w:ind w:right="60"/>
        <w:spacing w:after="0"/>
        <w:rPr>
          <w:sz w:val="20"/>
          <w:szCs w:val="20"/>
          <w:color w:val="auto"/>
        </w:rPr>
      </w:pPr>
      <w:r>
        <w:rPr>
          <w:rFonts w:ascii="Times New Roman" w:cs="Times New Roman" w:eastAsia="Times New Roman" w:hAnsi="Times New Roman"/>
          <w:sz w:val="20"/>
          <w:szCs w:val="20"/>
          <w:color w:val="auto"/>
        </w:rPr>
        <w:t>5,769,232</w:t>
      </w:r>
    </w:p>
    <w:p>
      <w:pPr>
        <w:spacing w:after="0" w:line="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u w:val="single" w:color="auto"/>
          <w:color w:val="auto"/>
        </w:rPr>
        <w:t>85,596,594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-136525</wp:posOffset>
                </wp:positionV>
                <wp:extent cx="78930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3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7499pt" to="62.6pt,-10.7499pt" o:allowincell="f" strokecolor="#000000" strokeweight="0.48pt"/>
            </w:pict>
          </mc:Fallback>
        </mc:AlternateContent>
      </w:r>
    </w:p>
    <w:p>
      <w:pPr>
        <w:spacing w:after="0" w:line="24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37465</wp:posOffset>
                </wp:positionV>
                <wp:extent cx="79756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75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95pt" to="62.6pt,2.9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25400</wp:posOffset>
                </wp:positionV>
                <wp:extent cx="79756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75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pt" to="62.6pt,2pt" o:allowincell="f" strokecolor="#000000" strokeweight="0.4799pt"/>
            </w:pict>
          </mc:Fallback>
        </mc:AlternateContent>
      </w:r>
    </w:p>
    <w:p>
      <w:pPr>
        <w:spacing w:after="0" w:line="200" w:lineRule="exact"/>
        <w:rPr>
          <w:sz w:val="20"/>
          <w:szCs w:val="20"/>
          <w:color w:val="auto"/>
        </w:rPr>
      </w:pPr>
    </w:p>
    <w:p>
      <w:pPr>
        <w:sectPr>
          <w:pgSz w:w="11880" w:h="15480" w:orient="portrait"/>
          <w:cols w:equalWidth="0" w:num="2">
            <w:col w:w="8100" w:space="360"/>
            <w:col w:w="1260"/>
          </w:cols>
          <w:pgMar w:left="1080" w:top="1064"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1880" w:h="15480" w:orient="portrait"/>
          <w:cols w:equalWidth="0" w:num="1">
            <w:col w:w="9720"/>
          </w:cols>
          <w:pgMar w:left="1080" w:top="1064" w:right="1080" w:bottom="0" w:gutter="0" w:footer="0" w:header="0"/>
          <w:type w:val="continuous"/>
        </w:sectPr>
      </w:pPr>
    </w:p>
    <w:bookmarkStart w:id="178" w:name="page179"/>
    <w:bookmarkEnd w:id="178"/>
    <w:p>
      <w:pPr>
        <w:ind w:right="160" w:firstLine="490"/>
        <w:spacing w:after="0" w:line="260" w:lineRule="auto"/>
        <w:rPr>
          <w:sz w:val="20"/>
          <w:szCs w:val="20"/>
          <w:color w:val="auto"/>
        </w:rPr>
      </w:pPr>
      <w:r>
        <w:rPr>
          <w:rFonts w:ascii="Times New Roman" w:cs="Times New Roman" w:eastAsia="Times New Roman" w:hAnsi="Times New Roman"/>
          <w:sz w:val="20"/>
          <w:szCs w:val="20"/>
          <w:color w:val="auto"/>
        </w:rPr>
        <w:t>The Company excluded the following common stock equivalents, outstanding as of December 31, 2025, 2024 and 2023 from the computation of diluted net loss per share attributable to common stockholders for the years ended December 31, 2025, 2024 and 2023 because they had an anti-dilutive impact due to the net loss incurred for the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right"/>
              <w:ind w:right="3460"/>
              <w:spacing w:after="0"/>
              <w:rPr>
                <w:sz w:val="20"/>
                <w:szCs w:val="20"/>
                <w:color w:val="auto"/>
              </w:rPr>
            </w:pPr>
            <w:r>
              <w:rPr>
                <w:rFonts w:ascii="Times New Roman" w:cs="Times New Roman" w:eastAsia="Times New Roman" w:hAnsi="Times New Roman"/>
                <w:sz w:val="20"/>
                <w:szCs w:val="20"/>
                <w:color w:val="auto"/>
                <w:w w:val="99"/>
              </w:rPr>
              <w:t>Options to purchase common stock</w:t>
            </w:r>
          </w:p>
        </w:tc>
        <w:tc>
          <w:tcPr>
            <w:tcW w:w="1060" w:type="dxa"/>
            <w:vAlign w:val="bottom"/>
            <w:gridSpan w:val="3"/>
          </w:tcPr>
          <w:p>
            <w:pPr>
              <w:jc w:val="right"/>
              <w:ind w:right="260"/>
              <w:spacing w:after="0" w:line="177" w:lineRule="exact"/>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gridSpan w:val="3"/>
          </w:tcPr>
          <w:p>
            <w:pPr>
              <w:jc w:val="right"/>
              <w:ind w:right="265"/>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gridSpan w:val="4"/>
          </w:tcPr>
          <w:p>
            <w:pPr>
              <w:jc w:val="right"/>
              <w:ind w:right="260"/>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1"/>
        </w:trPr>
        <w:tc>
          <w:tcPr>
            <w:tcW w:w="6380" w:type="dxa"/>
            <w:vAlign w:val="bottom"/>
            <w:vMerge w:val="continue"/>
          </w:tcPr>
          <w:p>
            <w:pPr>
              <w:jc w:val="right"/>
              <w:ind w:right="10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w:t>
            </w:r>
          </w:p>
        </w:tc>
        <w:tc>
          <w:tcPr>
            <w:tcW w:w="1060" w:type="dxa"/>
            <w:vAlign w:val="bottom"/>
            <w:tcBorders>
              <w:top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20"/>
                <w:szCs w:val="20"/>
                <w:color w:val="auto"/>
              </w:rPr>
              <w:t>21,887,817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19,887,683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16,136,791</w:t>
            </w:r>
          </w:p>
        </w:tc>
        <w:tc>
          <w:tcPr>
            <w:tcW w:w="0" w:type="dxa"/>
            <w:vAlign w:val="bottom"/>
          </w:tcPr>
          <w:p>
            <w:pPr>
              <w:spacing w:after="0"/>
              <w:rPr>
                <w:sz w:val="1"/>
                <w:szCs w:val="1"/>
                <w:color w:val="auto"/>
              </w:rPr>
            </w:pPr>
          </w:p>
        </w:tc>
      </w:tr>
      <w:tr>
        <w:trPr>
          <w:trHeight w:val="233"/>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6"/>
              </w:rPr>
              <w:t>RSUs . . . . . . . . . . . . . . . . . . . . . . . . . . . . . . . . . . . . . . . . . . . . . . . . . . . . . . . . . .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4,359,371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3,389,604</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1,627,341</w:t>
            </w:r>
          </w:p>
        </w:tc>
        <w:tc>
          <w:tcPr>
            <w:tcW w:w="0" w:type="dxa"/>
            <w:vAlign w:val="bottom"/>
          </w:tcPr>
          <w:p>
            <w:pPr>
              <w:spacing w:after="0"/>
              <w:rPr>
                <w:sz w:val="1"/>
                <w:szCs w:val="1"/>
                <w:color w:val="auto"/>
              </w:rPr>
            </w:pPr>
          </w:p>
        </w:tc>
      </w:tr>
      <w:tr>
        <w:trPr>
          <w:trHeight w:val="252"/>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6"/>
              </w:rPr>
              <w:t>PSUs. . . . . . . . . . . . . . . . . . . . . . . . . . . . . . . . . . . . . . . . . . . . . . . . . . . . . . . . . . .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1,500,000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6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27,747,188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23,277,287</w:t>
            </w:r>
          </w:p>
        </w:tc>
        <w:tc>
          <w:tcPr>
            <w:tcW w:w="160" w:type="dxa"/>
            <w:vAlign w:val="bottom"/>
          </w:tcPr>
          <w:p>
            <w:pPr>
              <w:spacing w:after="0"/>
              <w:rPr>
                <w:sz w:val="20"/>
                <w:szCs w:val="20"/>
                <w:color w:val="auto"/>
              </w:rPr>
            </w:pPr>
          </w:p>
        </w:tc>
        <w:tc>
          <w:tcPr>
            <w:tcW w:w="40" w:type="dxa"/>
            <w:vAlign w:val="bottom"/>
            <w:tcBorders>
              <w:bottom w:val="single" w:sz="8" w:color="auto"/>
            </w:tcBorders>
            <w:gridSpan w:val="2"/>
          </w:tcPr>
          <w:p>
            <w:pPr>
              <w:spacing w:after="0"/>
              <w:rPr>
                <w:sz w:val="20"/>
                <w:szCs w:val="20"/>
                <w:color w:val="auto"/>
              </w:rPr>
            </w:pPr>
          </w:p>
        </w:tc>
        <w:tc>
          <w:tcPr>
            <w:tcW w:w="98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99"/>
              </w:rPr>
              <w:t>17,764,132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Segment Reporting</w:t>
      </w:r>
    </w:p>
    <w:p>
      <w:pPr>
        <w:spacing w:after="0" w:line="242"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auto"/>
        </w:rPr>
        <w:t>The Company operates as a single operating segment. Its operations consist of developing and commercializing innovative therapies for retinal diseases and other eye conditions based on its ELUTYX proprietary bioresorbable hydrogel-based formulation technology.</w:t>
      </w:r>
    </w:p>
    <w:p>
      <w:pPr>
        <w:spacing w:after="0" w:line="186"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During the years ended December 31, 2025, 2024 and 2023, respectively, resources were allocated and performance was assessed by the Company’s Chief Executive Officer and the Company’s Chief Financial Officer and Chief Operating Officer, who the Company has determined to be, collectively, the Company’s Chief Operating Decision Maker (“CODM”).</w:t>
      </w:r>
    </w:p>
    <w:p>
      <w:pPr>
        <w:spacing w:after="0" w:line="190"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auto"/>
        </w:rPr>
        <w:t>The Company’s research and development function is responsible for research and discovery of new product candidates, and the pre-clinical and clinical development of, and related registration efforts for, the Company’s product candidates. The Company’s operations and technical function is responsible for supply chain, the manufacturing of the Company’s commercial products and clinical trial material, and facilities. The Company’s sales and marketing function is responsible for the commercialization of its products and market access activities. The Company’s operations are supported by corporate functions. Managing and allocating resources on a total company basis enables the Company’s CODM to assess the overall level of resources available and how to best deploy these resources across functions and development projects in line with the Company’s strategy. Consistent with this approach, the CODM uses consolidated, single-segment financial information for the purposes of developing budgets and forecasts, assessing performance, allocating resources, and setting incentive targets.</w:t>
      </w:r>
    </w:p>
    <w:p>
      <w:pPr>
        <w:spacing w:after="0" w:line="203" w:lineRule="exact"/>
        <w:rPr>
          <w:sz w:val="20"/>
          <w:szCs w:val="20"/>
          <w:color w:val="auto"/>
        </w:rPr>
      </w:pPr>
    </w:p>
    <w:p>
      <w:pPr>
        <w:ind w:right="140" w:firstLine="490"/>
        <w:spacing w:after="0" w:line="260" w:lineRule="auto"/>
        <w:rPr>
          <w:sz w:val="20"/>
          <w:szCs w:val="20"/>
          <w:color w:val="auto"/>
        </w:rPr>
      </w:pPr>
      <w:r>
        <w:rPr>
          <w:rFonts w:ascii="Times New Roman" w:cs="Times New Roman" w:eastAsia="Times New Roman" w:hAnsi="Times New Roman"/>
          <w:sz w:val="20"/>
          <w:szCs w:val="20"/>
          <w:color w:val="auto"/>
        </w:rPr>
        <w:t xml:space="preserve">The accounting policies for the Company’s one segment are the same as those described in Note 2 </w:t>
      </w:r>
      <w:r>
        <w:rPr>
          <w:rFonts w:ascii="Times New Roman" w:cs="Times New Roman" w:eastAsia="Times New Roman" w:hAnsi="Times New Roman"/>
          <w:sz w:val="20"/>
          <w:szCs w:val="20"/>
          <w:i w:val="1"/>
          <w:iCs w:val="1"/>
          <w:color w:val="auto"/>
        </w:rPr>
        <w:t>Summary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Significant Accounting Policies</w:t>
      </w:r>
      <w:r>
        <w:rPr>
          <w:rFonts w:ascii="Times New Roman" w:cs="Times New Roman" w:eastAsia="Times New Roman" w:hAnsi="Times New Roman"/>
          <w:sz w:val="20"/>
          <w:szCs w:val="20"/>
          <w:color w:val="auto"/>
        </w:rPr>
        <w:t>. The CODM evaluates the performance of its one segment and allocates resources 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Net Loss.</w:t>
      </w:r>
    </w:p>
    <w:p>
      <w:pPr>
        <w:sectPr>
          <w:pgSz w:w="11880" w:h="15480" w:orient="portrait"/>
          <w:cols w:equalWidth="0" w:num="1">
            <w:col w:w="9800"/>
          </w:cols>
          <w:pgMar w:left="1080" w:top="106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9800"/>
          </w:cols>
          <w:pgMar w:left="1080" w:top="1064" w:right="1000" w:bottom="0" w:gutter="0" w:footer="0" w:header="0"/>
          <w:type w:val="continuous"/>
        </w:sectPr>
      </w:pPr>
    </w:p>
    <w:bookmarkStart w:id="179" w:name="page180"/>
    <w:bookmarkEnd w:id="179"/>
    <w:p>
      <w:pPr>
        <w:ind w:left="500"/>
        <w:spacing w:after="0"/>
        <w:rPr>
          <w:sz w:val="20"/>
          <w:szCs w:val="20"/>
          <w:color w:val="auto"/>
        </w:rPr>
      </w:pPr>
      <w:r>
        <w:rPr>
          <w:rFonts w:ascii="Times New Roman" w:cs="Times New Roman" w:eastAsia="Times New Roman" w:hAnsi="Times New Roman"/>
          <w:sz w:val="20"/>
          <w:szCs w:val="20"/>
          <w:color w:val="auto"/>
        </w:rPr>
        <w:t>The following table provides information about the Company’s single segment: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w:t>
            </w: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800" w:type="dxa"/>
            <w:vAlign w:val="bottom"/>
            <w:vMerge w:val="continue"/>
          </w:tcPr>
          <w:p>
            <w:pPr>
              <w:jc w:val="right"/>
              <w:ind w:right="14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w:t>
            </w: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51,951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20"/>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63,723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20"/>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58,443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jc w:val="right"/>
              <w:ind w:right="140"/>
              <w:spacing w:after="0" w:line="211" w:lineRule="exact"/>
              <w:rPr>
                <w:sz w:val="20"/>
                <w:szCs w:val="20"/>
                <w:color w:val="auto"/>
              </w:rPr>
            </w:pPr>
            <w:r>
              <w:rPr>
                <w:rFonts w:ascii="Times New Roman" w:cs="Times New Roman" w:eastAsia="Times New Roman" w:hAnsi="Times New Roman"/>
                <w:sz w:val="20"/>
                <w:szCs w:val="20"/>
                <w:color w:val="auto"/>
              </w:rPr>
              <w:t>. . . . . . . . . . . . . . . . . . . . . . . . . .CostofProductRevenue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6,574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5,626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5,281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Research &amp; Development (a)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Direct Program 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AXPAXLI for wet AMD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119,609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57,507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AXPAXLI for NPDR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clinical and preclinical programs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Unallocated 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Personnel costs . .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28,625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All other costs . . .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16,236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Selling &amp; Marketing (a)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38,029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General &amp; Administrative (a)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37,377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38,861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Facilities (b) . . . . . . . . . .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Stock-based compensation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43,184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Depreciation. . . . . . . . . .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Interest income . . . . . . .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Interest expense . . . . . . .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(11,835)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(13,577)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(11,338)</w:t>
            </w:r>
          </w:p>
        </w:tc>
        <w:tc>
          <w:tcPr>
            <w:tcW w:w="0" w:type="dxa"/>
            <w:vAlign w:val="bottom"/>
          </w:tcPr>
          <w:p>
            <w:pPr>
              <w:spacing w:after="0"/>
              <w:rPr>
                <w:sz w:val="1"/>
                <w:szCs w:val="1"/>
                <w:color w:val="auto"/>
              </w:rPr>
            </w:pPr>
          </w:p>
        </w:tc>
      </w:tr>
      <w:tr>
        <w:trPr>
          <w:trHeight w:val="242"/>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Other non-operating items . . . . . . . . . . . . . . . . . . . . . . . . .</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(2,442)</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(28,430)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 . . . . . . . . . . . . . . . . . . . . . . . . . . . . . . . . . . . . . . .NetLoss</w:t>
            </w: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(265,939)</w:t>
            </w: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(193,506)</w:t>
            </w: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(80,736)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860" w:hanging="363"/>
        <w:spacing w:after="0"/>
        <w:tabs>
          <w:tab w:leader="none" w:pos="8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excluding stock-based compensation, depreciation, and facilities expenses</w:t>
      </w:r>
    </w:p>
    <w:p>
      <w:pPr>
        <w:ind w:left="860" w:hanging="363"/>
        <w:spacing w:after="0"/>
        <w:tabs>
          <w:tab w:leader="none" w:pos="8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excluding stock-based compensation and depreciation</w:t>
      </w:r>
    </w:p>
    <w:p>
      <w:pPr>
        <w:spacing w:after="0" w:line="239"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 xml:space="preserve">For the years ended December 31, 2025, 2024 and 2023, respectively, the Company generated all of its Product Revenue, net, in the United States. Collaboration revenue is attributable to a customer in China (Note 3). All of the Company’s long-lived assets were located in the United States. Refer to Note 11 </w:t>
      </w:r>
      <w:r>
        <w:rPr>
          <w:rFonts w:ascii="Times New Roman" w:cs="Times New Roman" w:eastAsia="Times New Roman" w:hAnsi="Times New Roman"/>
          <w:sz w:val="20"/>
          <w:szCs w:val="20"/>
          <w:i w:val="1"/>
          <w:iCs w:val="1"/>
          <w:color w:val="auto"/>
        </w:rPr>
        <w:t>Risks and Fair Value</w:t>
      </w:r>
      <w:r>
        <w:rPr>
          <w:rFonts w:ascii="Times New Roman" w:cs="Times New Roman" w:eastAsia="Times New Roman" w:hAnsi="Times New Roman"/>
          <w:sz w:val="20"/>
          <w:szCs w:val="20"/>
          <w:color w:val="auto"/>
        </w:rPr>
        <w:t xml:space="preserve"> for information regarding the Company’s major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238" w:lineRule="exact"/>
        <w:rPr>
          <w:sz w:val="20"/>
          <w:szCs w:val="20"/>
          <w:color w:val="auto"/>
        </w:rPr>
      </w:pPr>
    </w:p>
    <w:p>
      <w:pPr>
        <w:ind w:right="20" w:firstLine="489"/>
        <w:spacing w:after="0" w:line="248" w:lineRule="auto"/>
        <w:rPr>
          <w:sz w:val="20"/>
          <w:szCs w:val="20"/>
          <w:color w:val="auto"/>
        </w:rPr>
      </w:pPr>
      <w:r>
        <w:rPr>
          <w:rFonts w:ascii="Times New Roman" w:cs="Times New Roman" w:eastAsia="Times New Roman" w:hAnsi="Times New Roman"/>
          <w:sz w:val="20"/>
          <w:szCs w:val="20"/>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any material costs as a result of such indemnifications.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Related Party Transactions</w:t>
      </w:r>
    </w:p>
    <w:p>
      <w:pPr>
        <w:spacing w:after="0" w:line="24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Company has engaged Boston Image Reading Center LLC (“BIRC”) to provide certain clinical development-related services to the Company. Nadia Waheed, M.D. M.P.H., who has served as the Company’s Chief Medical Officer since June 1, 2024, is a Director of BIRC. For the year ended December 31, 2025, the Company incurred fees for clinical development-related services rendered by BIRC of $761. For the year ended December 31, 2024, the Company incurred fees for clinical development-related services rendered by BIRC while being deemed a related party since June 1, 2024 of $81. As of December 31, 2025 and 2024, there was $126 and $0 recorded in accounts payable for BIRC, respectively. As of December 31, 2025 and 2024, there was $590 and $5 recorded in accrued expenses for BIRC, respectively.</w:t>
      </w:r>
    </w:p>
    <w:p>
      <w:pPr>
        <w:spacing w:after="0" w:line="201" w:lineRule="exact"/>
        <w:rPr>
          <w:sz w:val="20"/>
          <w:szCs w:val="20"/>
          <w:color w:val="auto"/>
        </w:rPr>
      </w:pPr>
    </w:p>
    <w:p>
      <w:pPr>
        <w:ind w:right="360" w:firstLine="489"/>
        <w:spacing w:after="0" w:line="280" w:lineRule="auto"/>
        <w:rPr>
          <w:sz w:val="20"/>
          <w:szCs w:val="20"/>
          <w:color w:val="auto"/>
        </w:rPr>
      </w:pPr>
      <w:r>
        <w:rPr>
          <w:rFonts w:ascii="Times New Roman" w:cs="Times New Roman" w:eastAsia="Times New Roman" w:hAnsi="Times New Roman"/>
          <w:sz w:val="20"/>
          <w:szCs w:val="20"/>
          <w:color w:val="auto"/>
        </w:rPr>
        <w:t>Jeffrey Heier, M.D., a former member of the Company’s Board of Directors and the Company’s current Chief Scientific Officer, and Peter Kaiser, M.D., the Company’s Chief Development Officer since April 16, 2024, are each</w:t>
      </w:r>
    </w:p>
    <w:p>
      <w:pPr>
        <w:sectPr>
          <w:pgSz w:w="11880" w:h="15480" w:orient="portrait"/>
          <w:cols w:equalWidth="0" w:num="1">
            <w:col w:w="9720"/>
          </w:cols>
          <w:pgMar w:left="1080" w:top="106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1880" w:h="15480" w:orient="portrait"/>
          <w:cols w:equalWidth="0" w:num="1">
            <w:col w:w="9720"/>
          </w:cols>
          <w:pgMar w:left="1080" w:top="1064" w:right="1080" w:bottom="0" w:gutter="0" w:footer="0" w:header="0"/>
          <w:type w:val="continuous"/>
        </w:sectPr>
      </w:pPr>
    </w:p>
    <w:bookmarkStart w:id="180" w:name="page181"/>
    <w:bookmarkEnd w:id="180"/>
    <w:p>
      <w:pPr>
        <w:ind w:right="100"/>
        <w:spacing w:after="0" w:line="244" w:lineRule="auto"/>
        <w:rPr>
          <w:sz w:val="20"/>
          <w:szCs w:val="20"/>
          <w:color w:val="auto"/>
        </w:rPr>
      </w:pPr>
      <w:r>
        <w:rPr>
          <w:rFonts w:ascii="Times New Roman" w:cs="Times New Roman" w:eastAsia="Times New Roman" w:hAnsi="Times New Roman"/>
          <w:sz w:val="20"/>
          <w:szCs w:val="20"/>
          <w:color w:val="auto"/>
        </w:rPr>
        <w:t>affiliated with i2Vision, Inc. and its affiliated entities (collectively “i2Vision”). The Company had engaged i2Vision to provide services with respect to the clinical advancement of AXPAXLI. For the year ended December 31, 2025, the Company recorded a net credit for fees and expenses related to services rendered by i2Vision that were previously recorded as expense of $(121). For the year ended December 31, 2024, the Company incurred fees and expenses related to services rendered by i2Vision of $2,368, including $526 for pass-through costs. The Company incurred fees and expenses related to services rendered by i2Vision of $271, including $102 for pass-through costs, for the year ended December 31, 2023. As of December 31, 2025 and 2024, there was $0 and $132 recorded in accounts payable for i2Vision, respectively. As of December 31, 2025 and 2024, there was $0 and $383 recorded in accrued expenses for i2Vision, respectively. As of December 31, 2025 and 2024, there was $0 and $176 recorded in prepaid expenses and other current assets for i2Vision, respectively.</w:t>
      </w:r>
    </w:p>
    <w:p>
      <w:pPr>
        <w:spacing w:after="0" w:line="20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Company has engaged Wilmer Cutler Pickering Hale and Dorr LLP (“WilmerHale”) to provide certain legal services to the Company. Christopher White, who served as the Company’s Chief Business Officer until March 6, 2024, is the brother of a partner at WilmerHale who has not participated in providing legal services to the Company. Upon Mr. White’s departure, WilmerHale ceased to be a related party to the Company. For the year ended December 31, 2024, the Company incurred fees for legal services rendered by WilmerHale while being deemed a related party through March 31, 2024 of $1,080. The Company incurred fees for legal services rendered by WilmerHale of approximately $1,472 for the year ended December 31, 2023.</w:t>
      </w:r>
    </w:p>
    <w:p>
      <w:pPr>
        <w:spacing w:after="0" w:line="24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The Company had engaged Heier Consulting, LLC (“Heier Consulting”), an entity affiliated with Dr. Heier, to provide advice or expertise on one or more of the Company’s development-stage drug or medical device products relating to retinal diseases or conditions under a consultant agreement (the “Heier Consulting Agreement”). On February 21, 2024, the Company entered into an employment agreement with Dr. Heier (the “Heier Employment Agreement”) under which Dr. Heier agreed to serve as Chief Scientific Officer of the Company. In connection with entering into the Heier Employment Agreement, the Heier Consulting Agreement was terminated. In addition, in connection with his commencement of employment, Dr. Heier resigned from the Company’s board of directors, effective February 21, 2024. Compensation for the consulting services was in the form of cash and stock-based awards. The total grant date fair value of stock-based awards granted to Dr. Heier was $96, which was recognized to expense on a straight-line basis over the respective vesting periods. The Company incurred cash-based fees for services rendered by Heier Consulting before termination of the Consultant Agreement of approximately $5 for the year ended December 31, 2024. The Company incurred cash-based fees for services rendered by Heier Consulting of $32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Subsequent Events</w:t>
      </w:r>
    </w:p>
    <w:p>
      <w:pPr>
        <w:spacing w:after="0" w:line="244"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auto"/>
        </w:rPr>
        <w:t xml:space="preserve">In January 2026, the Company entered into a sublease for approximately 24,000 square feet of office space located at 14 Crosby Drive in Bedford, Massachusetts (the “14 Crosby Drive Lease”). The 14 Crosby Drive Lease commenced on January 1, 2026, accordingly, it was not recognized in the Company’s Consolidated Financial Statements as of and for the year ended December 31, 2025. The 14 Crosby Drive Lease will expire on March 30, 2031, and undiscounted minimum lease payments under the 14 Crosby Drive Lease are expected to be $3,363. The Company is currently in the process of finalizing its accounting under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for the 14 Crosby Drive Lease.</w:t>
      </w:r>
    </w:p>
    <w:p>
      <w:pPr>
        <w:spacing w:after="0" w:line="194" w:lineRule="exact"/>
        <w:rPr>
          <w:sz w:val="20"/>
          <w:szCs w:val="20"/>
          <w:color w:val="auto"/>
        </w:rPr>
      </w:pPr>
    </w:p>
    <w:p>
      <w:pPr>
        <w:jc w:val="both"/>
        <w:ind w:right="500" w:firstLine="489"/>
        <w:spacing w:after="0" w:line="280" w:lineRule="auto"/>
        <w:rPr>
          <w:sz w:val="20"/>
          <w:szCs w:val="20"/>
          <w:color w:val="auto"/>
        </w:rPr>
      </w:pPr>
      <w:r>
        <w:rPr>
          <w:rFonts w:ascii="Times New Roman" w:cs="Times New Roman" w:eastAsia="Times New Roman" w:hAnsi="Times New Roman"/>
          <w:sz w:val="20"/>
          <w:szCs w:val="20"/>
          <w:color w:val="auto"/>
        </w:rPr>
        <w:t>On February 4, 2026, the Company’s board of directors amended the 2019 Inducement Plan, as amended, to increase the aggregate number of shares issuable thereunder from 6,054,000 to 7,028,000 shares of common stock.</w:t>
      </w:r>
    </w:p>
    <w:p>
      <w:pPr>
        <w:sectPr>
          <w:pgSz w:w="11880" w:h="15480" w:orient="portrait"/>
          <w:cols w:equalWidth="0" w:num="1">
            <w:col w:w="9700"/>
          </w:cols>
          <w:pgMar w:left="1080" w:top="106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F-37</w:t>
      </w:r>
    </w:p>
    <w:p>
      <w:pPr>
        <w:sectPr>
          <w:pgSz w:w="11880" w:h="15480" w:orient="portrait"/>
          <w:cols w:equalWidth="0" w:num="1">
            <w:col w:w="9700"/>
          </w:cols>
          <w:pgMar w:left="1080" w:top="1064" w:right="1100" w:bottom="0" w:gutter="0" w:footer="0" w:header="0"/>
          <w:type w:val="continuous"/>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82" w:name="page183"/>
    <w:bookmarkEnd w:id="18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40" w:type="dxa"/>
            <w:vAlign w:val="bottom"/>
          </w:tcPr>
          <w:p>
            <w:pPr>
              <w:spacing w:after="0"/>
              <w:rPr>
                <w:sz w:val="20"/>
                <w:szCs w:val="20"/>
                <w:color w:val="auto"/>
              </w:rPr>
            </w:pPr>
            <w:r>
              <w:rPr>
                <w:rFonts w:ascii="Arial" w:cs="Arial" w:eastAsia="Arial" w:hAnsi="Arial"/>
                <w:sz w:val="23"/>
                <w:szCs w:val="23"/>
                <w:b w:val="1"/>
                <w:bCs w:val="1"/>
                <w:color w:val="auto"/>
              </w:rPr>
              <w:t>Management</w:t>
            </w:r>
          </w:p>
        </w:tc>
        <w:tc>
          <w:tcPr>
            <w:tcW w:w="3760" w:type="dxa"/>
            <w:vAlign w:val="bottom"/>
          </w:tcPr>
          <w:p>
            <w:pPr>
              <w:ind w:left="140"/>
              <w:spacing w:after="0"/>
              <w:rPr>
                <w:sz w:val="20"/>
                <w:szCs w:val="20"/>
                <w:color w:val="auto"/>
              </w:rPr>
            </w:pPr>
            <w:r>
              <w:rPr>
                <w:rFonts w:ascii="Arial" w:cs="Arial" w:eastAsia="Arial" w:hAnsi="Arial"/>
                <w:sz w:val="23"/>
                <w:szCs w:val="23"/>
                <w:b w:val="1"/>
                <w:bCs w:val="1"/>
                <w:color w:val="auto"/>
              </w:rPr>
              <w:t>Board of Directors</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Pravin U. Dugel, M.D.</w:t>
            </w:r>
          </w:p>
        </w:tc>
        <w:tc>
          <w:tcPr>
            <w:tcW w:w="3760" w:type="dxa"/>
            <w:vAlign w:val="bottom"/>
          </w:tcPr>
          <w:p>
            <w:pPr>
              <w:ind w:left="140"/>
              <w:spacing w:after="0"/>
              <w:rPr>
                <w:sz w:val="20"/>
                <w:szCs w:val="20"/>
                <w:color w:val="auto"/>
              </w:rPr>
            </w:pPr>
            <w:r>
              <w:rPr>
                <w:rFonts w:ascii="Arial" w:cs="Arial" w:eastAsia="Arial" w:hAnsi="Arial"/>
                <w:sz w:val="23"/>
                <w:szCs w:val="23"/>
                <w:color w:val="auto"/>
              </w:rPr>
              <w:t>Pravin U. Dugel, M.D.</w:t>
            </w:r>
          </w:p>
        </w:tc>
        <w:tc>
          <w:tcPr>
            <w:tcW w:w="0" w:type="dxa"/>
            <w:vAlign w:val="bottom"/>
          </w:tcPr>
          <w:p>
            <w:pPr>
              <w:spacing w:after="0"/>
              <w:rPr>
                <w:sz w:val="1"/>
                <w:szCs w:val="1"/>
                <w:color w:val="auto"/>
              </w:rPr>
            </w:pPr>
          </w:p>
        </w:tc>
      </w:tr>
      <w:tr>
        <w:trPr>
          <w:trHeight w:val="295"/>
        </w:trPr>
        <w:tc>
          <w:tcPr>
            <w:tcW w:w="3740" w:type="dxa"/>
            <w:vAlign w:val="bottom"/>
          </w:tcPr>
          <w:p>
            <w:pPr>
              <w:spacing w:after="0"/>
              <w:rPr>
                <w:sz w:val="20"/>
                <w:szCs w:val="20"/>
                <w:color w:val="auto"/>
              </w:rPr>
            </w:pPr>
            <w:r>
              <w:rPr>
                <w:rFonts w:ascii="Arial" w:cs="Arial" w:eastAsia="Arial" w:hAnsi="Arial"/>
                <w:sz w:val="23"/>
                <w:szCs w:val="23"/>
                <w:color w:val="auto"/>
                <w:w w:val="98"/>
              </w:rPr>
              <w:t>Executive Chairman, President, CEO</w:t>
            </w:r>
          </w:p>
        </w:tc>
        <w:tc>
          <w:tcPr>
            <w:tcW w:w="3760" w:type="dxa"/>
            <w:vAlign w:val="bottom"/>
          </w:tcPr>
          <w:p>
            <w:pPr>
              <w:ind w:left="140"/>
              <w:spacing w:after="0"/>
              <w:rPr>
                <w:sz w:val="20"/>
                <w:szCs w:val="20"/>
                <w:color w:val="auto"/>
              </w:rPr>
            </w:pPr>
            <w:r>
              <w:rPr>
                <w:rFonts w:ascii="Arial" w:cs="Arial" w:eastAsia="Arial" w:hAnsi="Arial"/>
                <w:sz w:val="23"/>
                <w:szCs w:val="23"/>
                <w:color w:val="auto"/>
                <w:w w:val="95"/>
              </w:rPr>
              <w:t>Executive Chairman, President, CEO</w:t>
            </w:r>
          </w:p>
        </w:tc>
        <w:tc>
          <w:tcPr>
            <w:tcW w:w="0" w:type="dxa"/>
            <w:vAlign w:val="bottom"/>
          </w:tcPr>
          <w:p>
            <w:pPr>
              <w:spacing w:after="0"/>
              <w:rPr>
                <w:sz w:val="1"/>
                <w:szCs w:val="1"/>
                <w:color w:val="auto"/>
              </w:rPr>
            </w:pPr>
          </w:p>
        </w:tc>
      </w:tr>
      <w:tr>
        <w:trPr>
          <w:trHeight w:val="549"/>
        </w:trPr>
        <w:tc>
          <w:tcPr>
            <w:tcW w:w="3740" w:type="dxa"/>
            <w:vAlign w:val="bottom"/>
          </w:tcPr>
          <w:p>
            <w:pPr>
              <w:spacing w:after="0"/>
              <w:rPr>
                <w:sz w:val="20"/>
                <w:szCs w:val="20"/>
                <w:color w:val="auto"/>
              </w:rPr>
            </w:pPr>
            <w:r>
              <w:rPr>
                <w:rFonts w:ascii="Arial" w:cs="Arial" w:eastAsia="Arial" w:hAnsi="Arial"/>
                <w:sz w:val="23"/>
                <w:szCs w:val="23"/>
                <w:color w:val="auto"/>
              </w:rPr>
              <w:t>Donald Notman</w:t>
            </w:r>
          </w:p>
        </w:tc>
        <w:tc>
          <w:tcPr>
            <w:tcW w:w="3760" w:type="dxa"/>
            <w:vAlign w:val="bottom"/>
          </w:tcPr>
          <w:p>
            <w:pPr>
              <w:ind w:left="140"/>
              <w:spacing w:after="0"/>
              <w:rPr>
                <w:sz w:val="20"/>
                <w:szCs w:val="20"/>
                <w:color w:val="auto"/>
              </w:rPr>
            </w:pPr>
            <w:r>
              <w:rPr>
                <w:rFonts w:ascii="Arial" w:cs="Arial" w:eastAsia="Arial" w:hAnsi="Arial"/>
                <w:sz w:val="23"/>
                <w:szCs w:val="23"/>
                <w:color w:val="auto"/>
              </w:rPr>
              <w:t>Charles Warden</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Chief Operating O?icer</w:t>
            </w:r>
          </w:p>
        </w:tc>
        <w:tc>
          <w:tcPr>
            <w:tcW w:w="3760" w:type="dxa"/>
            <w:vAlign w:val="bottom"/>
          </w:tcPr>
          <w:p>
            <w:pPr>
              <w:ind w:left="140"/>
              <w:spacing w:after="0"/>
              <w:rPr>
                <w:sz w:val="20"/>
                <w:szCs w:val="20"/>
                <w:color w:val="auto"/>
              </w:rPr>
            </w:pPr>
            <w:r>
              <w:rPr>
                <w:rFonts w:ascii="Arial" w:cs="Arial" w:eastAsia="Arial" w:hAnsi="Arial"/>
                <w:sz w:val="23"/>
                <w:szCs w:val="23"/>
                <w:color w:val="auto"/>
              </w:rPr>
              <w:t>Lead Independent Director</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color w:val="auto"/>
              </w:rPr>
              <w:t>Managing Director of Versant</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Je?rey S. Heier, M.D.</w:t>
            </w:r>
          </w:p>
        </w:tc>
        <w:tc>
          <w:tcPr>
            <w:tcW w:w="3760" w:type="dxa"/>
            <w:vAlign w:val="bottom"/>
          </w:tcPr>
          <w:p>
            <w:pPr>
              <w:ind w:left="140"/>
              <w:spacing w:after="0"/>
              <w:rPr>
                <w:sz w:val="20"/>
                <w:szCs w:val="20"/>
                <w:color w:val="auto"/>
              </w:rPr>
            </w:pPr>
            <w:r>
              <w:rPr>
                <w:rFonts w:ascii="Arial" w:cs="Arial" w:eastAsia="Arial" w:hAnsi="Arial"/>
                <w:sz w:val="23"/>
                <w:szCs w:val="23"/>
                <w:color w:val="auto"/>
              </w:rPr>
              <w:t>Ventures</w:t>
            </w:r>
          </w:p>
        </w:tc>
        <w:tc>
          <w:tcPr>
            <w:tcW w:w="0" w:type="dxa"/>
            <w:vAlign w:val="bottom"/>
          </w:tcPr>
          <w:p>
            <w:pPr>
              <w:spacing w:after="0"/>
              <w:rPr>
                <w:sz w:val="1"/>
                <w:szCs w:val="1"/>
                <w:color w:val="auto"/>
              </w:rPr>
            </w:pPr>
          </w:p>
        </w:tc>
      </w:tr>
      <w:tr>
        <w:trPr>
          <w:trHeight w:val="295"/>
        </w:trPr>
        <w:tc>
          <w:tcPr>
            <w:tcW w:w="3740" w:type="dxa"/>
            <w:vAlign w:val="bottom"/>
          </w:tcPr>
          <w:p>
            <w:pPr>
              <w:spacing w:after="0"/>
              <w:rPr>
                <w:sz w:val="20"/>
                <w:szCs w:val="20"/>
                <w:color w:val="auto"/>
              </w:rPr>
            </w:pPr>
            <w:r>
              <w:rPr>
                <w:rFonts w:ascii="Arial" w:cs="Arial" w:eastAsia="Arial" w:hAnsi="Arial"/>
                <w:sz w:val="23"/>
                <w:szCs w:val="23"/>
                <w:color w:val="auto"/>
              </w:rPr>
              <w:t>Chief Scientific O?icer</w:t>
            </w:r>
          </w:p>
        </w:tc>
        <w:tc>
          <w:tcPr>
            <w:tcW w:w="3760" w:type="dxa"/>
            <w:vAlign w:val="bottom"/>
            <w:vMerge w:val="restart"/>
          </w:tcPr>
          <w:p>
            <w:pPr>
              <w:ind w:left="140"/>
              <w:spacing w:after="0"/>
              <w:rPr>
                <w:sz w:val="20"/>
                <w:szCs w:val="20"/>
                <w:color w:val="auto"/>
              </w:rPr>
            </w:pPr>
            <w:r>
              <w:rPr>
                <w:rFonts w:ascii="Arial" w:cs="Arial" w:eastAsia="Arial" w:hAnsi="Arial"/>
                <w:sz w:val="23"/>
                <w:szCs w:val="23"/>
                <w:color w:val="auto"/>
              </w:rPr>
              <w:t>Adrienne Graves, Ph.D.</w:t>
            </w:r>
          </w:p>
        </w:tc>
        <w:tc>
          <w:tcPr>
            <w:tcW w:w="0" w:type="dxa"/>
            <w:vAlign w:val="bottom"/>
          </w:tcPr>
          <w:p>
            <w:pPr>
              <w:spacing w:after="0"/>
              <w:rPr>
                <w:sz w:val="1"/>
                <w:szCs w:val="1"/>
                <w:color w:val="auto"/>
              </w:rPr>
            </w:pPr>
          </w:p>
        </w:tc>
      </w:tr>
      <w:tr>
        <w:trPr>
          <w:trHeight w:val="267"/>
        </w:trPr>
        <w:tc>
          <w:tcPr>
            <w:tcW w:w="3740" w:type="dxa"/>
            <w:vAlign w:val="bottom"/>
          </w:tcPr>
          <w:p>
            <w:pPr>
              <w:spacing w:after="0"/>
              <w:rPr>
                <w:sz w:val="23"/>
                <w:szCs w:val="23"/>
                <w:color w:val="auto"/>
              </w:rPr>
            </w:pPr>
          </w:p>
        </w:tc>
        <w:tc>
          <w:tcPr>
            <w:tcW w:w="3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Nadia K. Waheed, M.D., MPH</w:t>
            </w:r>
          </w:p>
        </w:tc>
        <w:tc>
          <w:tcPr>
            <w:tcW w:w="3760" w:type="dxa"/>
            <w:vAlign w:val="bottom"/>
          </w:tcPr>
          <w:p>
            <w:pPr>
              <w:ind w:left="140"/>
              <w:spacing w:after="0"/>
              <w:rPr>
                <w:sz w:val="20"/>
                <w:szCs w:val="20"/>
                <w:color w:val="auto"/>
              </w:rPr>
            </w:pPr>
            <w:r>
              <w:rPr>
                <w:rFonts w:ascii="Arial" w:cs="Arial" w:eastAsia="Arial" w:hAnsi="Arial"/>
                <w:sz w:val="23"/>
                <w:szCs w:val="23"/>
                <w:color w:val="auto"/>
              </w:rPr>
              <w:t>Director</w:t>
            </w:r>
          </w:p>
        </w:tc>
        <w:tc>
          <w:tcPr>
            <w:tcW w:w="0" w:type="dxa"/>
            <w:vAlign w:val="bottom"/>
          </w:tcPr>
          <w:p>
            <w:pPr>
              <w:spacing w:after="0"/>
              <w:rPr>
                <w:sz w:val="1"/>
                <w:szCs w:val="1"/>
                <w:color w:val="auto"/>
              </w:rPr>
            </w:pPr>
          </w:p>
        </w:tc>
      </w:tr>
      <w:tr>
        <w:trPr>
          <w:trHeight w:val="295"/>
        </w:trPr>
        <w:tc>
          <w:tcPr>
            <w:tcW w:w="3740" w:type="dxa"/>
            <w:vAlign w:val="bottom"/>
          </w:tcPr>
          <w:p>
            <w:pPr>
              <w:spacing w:after="0"/>
              <w:rPr>
                <w:sz w:val="20"/>
                <w:szCs w:val="20"/>
                <w:color w:val="auto"/>
              </w:rPr>
            </w:pPr>
            <w:r>
              <w:rPr>
                <w:rFonts w:ascii="Arial" w:cs="Arial" w:eastAsia="Arial" w:hAnsi="Arial"/>
                <w:sz w:val="23"/>
                <w:szCs w:val="23"/>
                <w:color w:val="auto"/>
              </w:rPr>
              <w:t>Chief Medical O?icer</w:t>
            </w:r>
          </w:p>
        </w:tc>
        <w:tc>
          <w:tcPr>
            <w:tcW w:w="3760" w:type="dxa"/>
            <w:vAlign w:val="bottom"/>
            <w:vMerge w:val="restart"/>
          </w:tcPr>
          <w:p>
            <w:pPr>
              <w:ind w:left="140"/>
              <w:spacing w:after="0"/>
              <w:rPr>
                <w:sz w:val="20"/>
                <w:szCs w:val="20"/>
                <w:color w:val="auto"/>
              </w:rPr>
            </w:pPr>
            <w:r>
              <w:rPr>
                <w:rFonts w:ascii="Arial" w:cs="Arial" w:eastAsia="Arial" w:hAnsi="Arial"/>
                <w:sz w:val="23"/>
                <w:szCs w:val="23"/>
                <w:color w:val="auto"/>
              </w:rPr>
              <w:t>Seung Suh Hong, Ph.D.</w:t>
            </w:r>
          </w:p>
        </w:tc>
        <w:tc>
          <w:tcPr>
            <w:tcW w:w="0" w:type="dxa"/>
            <w:vAlign w:val="bottom"/>
          </w:tcPr>
          <w:p>
            <w:pPr>
              <w:spacing w:after="0"/>
              <w:rPr>
                <w:sz w:val="1"/>
                <w:szCs w:val="1"/>
                <w:color w:val="auto"/>
              </w:rPr>
            </w:pPr>
          </w:p>
        </w:tc>
      </w:tr>
      <w:tr>
        <w:trPr>
          <w:trHeight w:val="267"/>
        </w:trPr>
        <w:tc>
          <w:tcPr>
            <w:tcW w:w="3740" w:type="dxa"/>
            <w:vAlign w:val="bottom"/>
          </w:tcPr>
          <w:p>
            <w:pPr>
              <w:spacing w:after="0"/>
              <w:rPr>
                <w:sz w:val="23"/>
                <w:szCs w:val="23"/>
                <w:color w:val="auto"/>
              </w:rPr>
            </w:pPr>
          </w:p>
        </w:tc>
        <w:tc>
          <w:tcPr>
            <w:tcW w:w="3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Peter K. Kaiser, M.D.</w:t>
            </w:r>
          </w:p>
        </w:tc>
        <w:tc>
          <w:tcPr>
            <w:tcW w:w="3760" w:type="dxa"/>
            <w:vAlign w:val="bottom"/>
          </w:tcPr>
          <w:p>
            <w:pPr>
              <w:ind w:left="140"/>
              <w:spacing w:after="0"/>
              <w:rPr>
                <w:sz w:val="20"/>
                <w:szCs w:val="20"/>
                <w:color w:val="auto"/>
              </w:rPr>
            </w:pPr>
            <w:r>
              <w:rPr>
                <w:rFonts w:ascii="Arial" w:cs="Arial" w:eastAsia="Arial" w:hAnsi="Arial"/>
                <w:sz w:val="23"/>
                <w:szCs w:val="23"/>
                <w:color w:val="auto"/>
              </w:rPr>
              <w:t>Divisional Head I Daewoong</w:t>
            </w:r>
          </w:p>
        </w:tc>
        <w:tc>
          <w:tcPr>
            <w:tcW w:w="0" w:type="dxa"/>
            <w:vAlign w:val="bottom"/>
          </w:tcPr>
          <w:p>
            <w:pPr>
              <w:spacing w:after="0"/>
              <w:rPr>
                <w:sz w:val="1"/>
                <w:szCs w:val="1"/>
                <w:color w:val="auto"/>
              </w:rPr>
            </w:pPr>
          </w:p>
        </w:tc>
      </w:tr>
      <w:tr>
        <w:trPr>
          <w:trHeight w:val="299"/>
        </w:trPr>
        <w:tc>
          <w:tcPr>
            <w:tcW w:w="3740" w:type="dxa"/>
            <w:vAlign w:val="bottom"/>
          </w:tcPr>
          <w:p>
            <w:pPr>
              <w:spacing w:after="0"/>
              <w:rPr>
                <w:sz w:val="20"/>
                <w:szCs w:val="20"/>
                <w:color w:val="auto"/>
              </w:rPr>
            </w:pPr>
            <w:r>
              <w:rPr>
                <w:rFonts w:ascii="Arial" w:cs="Arial" w:eastAsia="Arial" w:hAnsi="Arial"/>
                <w:sz w:val="23"/>
                <w:szCs w:val="23"/>
                <w:color w:val="auto"/>
              </w:rPr>
              <w:t>Chief Development O?icer</w:t>
            </w:r>
          </w:p>
        </w:tc>
        <w:tc>
          <w:tcPr>
            <w:tcW w:w="3760" w:type="dxa"/>
            <w:vAlign w:val="bottom"/>
          </w:tcPr>
          <w:p>
            <w:pPr>
              <w:ind w:left="140"/>
              <w:spacing w:after="0"/>
              <w:rPr>
                <w:sz w:val="20"/>
                <w:szCs w:val="20"/>
                <w:color w:val="auto"/>
              </w:rPr>
            </w:pPr>
            <w:r>
              <w:rPr>
                <w:rFonts w:ascii="Arial" w:cs="Arial" w:eastAsia="Arial" w:hAnsi="Arial"/>
                <w:sz w:val="23"/>
                <w:szCs w:val="23"/>
                <w:color w:val="auto"/>
              </w:rPr>
              <w:t>Pharmaceutical Co., Ltd.</w:t>
            </w:r>
          </w:p>
        </w:tc>
        <w:tc>
          <w:tcPr>
            <w:tcW w:w="0" w:type="dxa"/>
            <w:vAlign w:val="bottom"/>
          </w:tcPr>
          <w:p>
            <w:pPr>
              <w:spacing w:after="0"/>
              <w:rPr>
                <w:sz w:val="1"/>
                <w:szCs w:val="1"/>
                <w:color w:val="auto"/>
              </w:rPr>
            </w:pPr>
          </w:p>
        </w:tc>
      </w:tr>
      <w:tr>
        <w:trPr>
          <w:trHeight w:val="549"/>
        </w:trPr>
        <w:tc>
          <w:tcPr>
            <w:tcW w:w="3740" w:type="dxa"/>
            <w:vAlign w:val="bottom"/>
          </w:tcPr>
          <w:p>
            <w:pPr>
              <w:spacing w:after="0"/>
              <w:rPr>
                <w:sz w:val="20"/>
                <w:szCs w:val="20"/>
                <w:color w:val="auto"/>
              </w:rPr>
            </w:pPr>
            <w:r>
              <w:rPr>
                <w:rFonts w:ascii="Arial" w:cs="Arial" w:eastAsia="Arial" w:hAnsi="Arial"/>
                <w:sz w:val="23"/>
                <w:szCs w:val="23"/>
                <w:color w:val="auto"/>
              </w:rPr>
              <w:t>Sanjay Nayak, MBBS, Ph.D.</w:t>
            </w:r>
          </w:p>
        </w:tc>
        <w:tc>
          <w:tcPr>
            <w:tcW w:w="3760" w:type="dxa"/>
            <w:vAlign w:val="bottom"/>
          </w:tcPr>
          <w:p>
            <w:pPr>
              <w:ind w:left="140"/>
              <w:spacing w:after="0"/>
              <w:rPr>
                <w:sz w:val="20"/>
                <w:szCs w:val="20"/>
                <w:color w:val="auto"/>
              </w:rPr>
            </w:pPr>
            <w:r>
              <w:rPr>
                <w:rFonts w:ascii="Arial" w:cs="Arial" w:eastAsia="Arial" w:hAnsi="Arial"/>
                <w:sz w:val="23"/>
                <w:szCs w:val="23"/>
                <w:color w:val="auto"/>
              </w:rPr>
              <w:t>Richard Lindstrom, M.D.</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Chief Strategy O?icer</w:t>
            </w:r>
          </w:p>
        </w:tc>
        <w:tc>
          <w:tcPr>
            <w:tcW w:w="3760" w:type="dxa"/>
            <w:vAlign w:val="bottom"/>
          </w:tcPr>
          <w:p>
            <w:pPr>
              <w:ind w:left="140"/>
              <w:spacing w:after="0"/>
              <w:rPr>
                <w:sz w:val="20"/>
                <w:szCs w:val="20"/>
                <w:color w:val="auto"/>
              </w:rPr>
            </w:pPr>
            <w:r>
              <w:rPr>
                <w:rFonts w:ascii="Arial" w:cs="Arial" w:eastAsia="Arial" w:hAnsi="Arial"/>
                <w:sz w:val="23"/>
                <w:szCs w:val="23"/>
                <w:color w:val="auto"/>
              </w:rPr>
              <w:t>Founder/ Attending Surgeon I</w:t>
            </w:r>
          </w:p>
        </w:tc>
        <w:tc>
          <w:tcPr>
            <w:tcW w:w="0" w:type="dxa"/>
            <w:vAlign w:val="bottom"/>
          </w:tcPr>
          <w:p>
            <w:pPr>
              <w:spacing w:after="0"/>
              <w:rPr>
                <w:sz w:val="1"/>
                <w:szCs w:val="1"/>
                <w:color w:val="auto"/>
              </w:rPr>
            </w:pPr>
          </w:p>
        </w:tc>
      </w:tr>
      <w:tr>
        <w:trPr>
          <w:trHeight w:val="295"/>
        </w:trPr>
        <w:tc>
          <w:tcPr>
            <w:tcW w:w="3740" w:type="dxa"/>
            <w:vAlign w:val="bottom"/>
            <w:vMerge w:val="restart"/>
          </w:tcPr>
          <w:p>
            <w:pPr>
              <w:spacing w:after="0"/>
              <w:rPr>
                <w:sz w:val="20"/>
                <w:szCs w:val="20"/>
                <w:color w:val="auto"/>
              </w:rPr>
            </w:pPr>
            <w:r>
              <w:rPr>
                <w:rFonts w:ascii="Arial" w:cs="Arial" w:eastAsia="Arial" w:hAnsi="Arial"/>
                <w:sz w:val="23"/>
                <w:szCs w:val="23"/>
                <w:color w:val="auto"/>
              </w:rPr>
              <w:t>Namrata Saroj, OD</w:t>
            </w:r>
          </w:p>
        </w:tc>
        <w:tc>
          <w:tcPr>
            <w:tcW w:w="3760" w:type="dxa"/>
            <w:vAlign w:val="bottom"/>
          </w:tcPr>
          <w:p>
            <w:pPr>
              <w:ind w:left="140"/>
              <w:spacing w:after="0"/>
              <w:rPr>
                <w:sz w:val="20"/>
                <w:szCs w:val="20"/>
                <w:color w:val="auto"/>
              </w:rPr>
            </w:pPr>
            <w:r>
              <w:rPr>
                <w:rFonts w:ascii="Arial" w:cs="Arial" w:eastAsia="Arial" w:hAnsi="Arial"/>
                <w:sz w:val="23"/>
                <w:szCs w:val="23"/>
                <w:color w:val="auto"/>
              </w:rPr>
              <w:t>Minnesota Eye Consultants, P.A.</w:t>
            </w:r>
          </w:p>
        </w:tc>
        <w:tc>
          <w:tcPr>
            <w:tcW w:w="0" w:type="dxa"/>
            <w:vAlign w:val="bottom"/>
          </w:tcPr>
          <w:p>
            <w:pPr>
              <w:spacing w:after="0"/>
              <w:rPr>
                <w:sz w:val="1"/>
                <w:szCs w:val="1"/>
                <w:color w:val="auto"/>
              </w:rPr>
            </w:pPr>
          </w:p>
        </w:tc>
      </w:tr>
      <w:tr>
        <w:trPr>
          <w:trHeight w:val="267"/>
        </w:trPr>
        <w:tc>
          <w:tcPr>
            <w:tcW w:w="3740" w:type="dxa"/>
            <w:vAlign w:val="bottom"/>
            <w:vMerge w:val="continue"/>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Chief Business O?icer</w:t>
            </w:r>
          </w:p>
        </w:tc>
        <w:tc>
          <w:tcPr>
            <w:tcW w:w="3760" w:type="dxa"/>
            <w:vAlign w:val="bottom"/>
          </w:tcPr>
          <w:p>
            <w:pPr>
              <w:ind w:left="140"/>
              <w:spacing w:after="0"/>
              <w:rPr>
                <w:sz w:val="20"/>
                <w:szCs w:val="20"/>
                <w:color w:val="auto"/>
              </w:rPr>
            </w:pPr>
            <w:r>
              <w:rPr>
                <w:rFonts w:ascii="Arial" w:cs="Arial" w:eastAsia="Arial" w:hAnsi="Arial"/>
                <w:sz w:val="23"/>
                <w:szCs w:val="23"/>
                <w:color w:val="auto"/>
              </w:rPr>
              <w:t>Merilee Raines</w:t>
            </w:r>
          </w:p>
        </w:tc>
        <w:tc>
          <w:tcPr>
            <w:tcW w:w="0" w:type="dxa"/>
            <w:vAlign w:val="bottom"/>
          </w:tcPr>
          <w:p>
            <w:pPr>
              <w:spacing w:after="0"/>
              <w:rPr>
                <w:sz w:val="1"/>
                <w:szCs w:val="1"/>
                <w:color w:val="auto"/>
              </w:rPr>
            </w:pPr>
          </w:p>
        </w:tc>
      </w:tr>
      <w:tr>
        <w:trPr>
          <w:trHeight w:val="295"/>
        </w:trPr>
        <w:tc>
          <w:tcPr>
            <w:tcW w:w="3740" w:type="dxa"/>
            <w:vAlign w:val="bottom"/>
            <w:vMerge w:val="restart"/>
          </w:tcPr>
          <w:p>
            <w:pPr>
              <w:spacing w:after="0"/>
              <w:rPr>
                <w:sz w:val="20"/>
                <w:szCs w:val="20"/>
                <w:color w:val="auto"/>
              </w:rPr>
            </w:pPr>
            <w:r>
              <w:rPr>
                <w:rFonts w:ascii="Arial" w:cs="Arial" w:eastAsia="Arial" w:hAnsi="Arial"/>
                <w:sz w:val="23"/>
                <w:szCs w:val="23"/>
                <w:color w:val="auto"/>
              </w:rPr>
              <w:t>David W. Robinson</w:t>
            </w:r>
          </w:p>
        </w:tc>
        <w:tc>
          <w:tcPr>
            <w:tcW w:w="3760" w:type="dxa"/>
            <w:vAlign w:val="bottom"/>
          </w:tcPr>
          <w:p>
            <w:pPr>
              <w:ind w:left="140"/>
              <w:spacing w:after="0"/>
              <w:rPr>
                <w:sz w:val="20"/>
                <w:szCs w:val="20"/>
                <w:color w:val="auto"/>
              </w:rPr>
            </w:pPr>
            <w:r>
              <w:rPr>
                <w:rFonts w:ascii="Arial" w:cs="Arial" w:eastAsia="Arial" w:hAnsi="Arial"/>
                <w:sz w:val="23"/>
                <w:szCs w:val="23"/>
                <w:color w:val="auto"/>
                <w:w w:val="97"/>
              </w:rPr>
              <w:t>Director I Biotherapeutic Companies</w:t>
            </w:r>
          </w:p>
        </w:tc>
        <w:tc>
          <w:tcPr>
            <w:tcW w:w="0" w:type="dxa"/>
            <w:vAlign w:val="bottom"/>
          </w:tcPr>
          <w:p>
            <w:pPr>
              <w:spacing w:after="0"/>
              <w:rPr>
                <w:sz w:val="1"/>
                <w:szCs w:val="1"/>
                <w:color w:val="auto"/>
              </w:rPr>
            </w:pPr>
          </w:p>
        </w:tc>
      </w:tr>
      <w:tr>
        <w:trPr>
          <w:trHeight w:val="267"/>
        </w:trPr>
        <w:tc>
          <w:tcPr>
            <w:tcW w:w="3740" w:type="dxa"/>
            <w:vAlign w:val="bottom"/>
            <w:vMerge w:val="continue"/>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Global Chief Commercial O?icer</w:t>
            </w:r>
          </w:p>
        </w:tc>
        <w:tc>
          <w:tcPr>
            <w:tcW w:w="3760" w:type="dxa"/>
            <w:vAlign w:val="bottom"/>
          </w:tcPr>
          <w:p>
            <w:pPr>
              <w:ind w:left="140"/>
              <w:spacing w:after="0"/>
              <w:rPr>
                <w:sz w:val="20"/>
                <w:szCs w:val="20"/>
                <w:color w:val="auto"/>
              </w:rPr>
            </w:pPr>
            <w:r>
              <w:rPr>
                <w:rFonts w:ascii="Arial" w:cs="Arial" w:eastAsia="Arial" w:hAnsi="Arial"/>
                <w:sz w:val="23"/>
                <w:szCs w:val="23"/>
                <w:color w:val="auto"/>
              </w:rPr>
              <w:t>Leslie J. Williams</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color w:val="auto"/>
                <w:w w:val="98"/>
              </w:rPr>
              <w:t>President ,Chief Executive O?icer &amp;</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Jason S. Robins</w:t>
            </w:r>
          </w:p>
        </w:tc>
        <w:tc>
          <w:tcPr>
            <w:tcW w:w="3760" w:type="dxa"/>
            <w:vAlign w:val="bottom"/>
          </w:tcPr>
          <w:p>
            <w:pPr>
              <w:ind w:left="140"/>
              <w:spacing w:after="0"/>
              <w:rPr>
                <w:sz w:val="20"/>
                <w:szCs w:val="20"/>
                <w:color w:val="auto"/>
              </w:rPr>
            </w:pPr>
            <w:r>
              <w:rPr>
                <w:rFonts w:ascii="Arial" w:cs="Arial" w:eastAsia="Arial" w:hAnsi="Arial"/>
                <w:sz w:val="23"/>
                <w:szCs w:val="23"/>
                <w:color w:val="auto"/>
                <w:w w:val="96"/>
              </w:rPr>
              <w:t>Director I DaCapo Brainscience, Inc.</w:t>
            </w:r>
          </w:p>
        </w:tc>
        <w:tc>
          <w:tcPr>
            <w:tcW w:w="0" w:type="dxa"/>
            <w:vAlign w:val="bottom"/>
          </w:tcPr>
          <w:p>
            <w:pPr>
              <w:spacing w:after="0"/>
              <w:rPr>
                <w:sz w:val="1"/>
                <w:szCs w:val="1"/>
                <w:color w:val="auto"/>
              </w:rPr>
            </w:pPr>
          </w:p>
        </w:tc>
      </w:tr>
      <w:tr>
        <w:trPr>
          <w:trHeight w:val="295"/>
        </w:trPr>
        <w:tc>
          <w:tcPr>
            <w:tcW w:w="3740" w:type="dxa"/>
            <w:vAlign w:val="bottom"/>
          </w:tcPr>
          <w:p>
            <w:pPr>
              <w:spacing w:after="0"/>
              <w:rPr>
                <w:sz w:val="20"/>
                <w:szCs w:val="20"/>
                <w:color w:val="auto"/>
              </w:rPr>
            </w:pPr>
            <w:r>
              <w:rPr>
                <w:rFonts w:ascii="Arial" w:cs="Arial" w:eastAsia="Arial" w:hAnsi="Arial"/>
                <w:sz w:val="23"/>
                <w:szCs w:val="23"/>
                <w:color w:val="auto"/>
              </w:rPr>
              <w:t>Interim Chief Financial O?icer</w:t>
            </w:r>
          </w:p>
        </w:tc>
        <w:tc>
          <w:tcPr>
            <w:tcW w:w="3760" w:type="dxa"/>
            <w:vAlign w:val="bottom"/>
            <w:vMerge w:val="restart"/>
          </w:tcPr>
          <w:p>
            <w:pPr>
              <w:ind w:left="140"/>
              <w:spacing w:after="0"/>
              <w:rPr>
                <w:sz w:val="20"/>
                <w:szCs w:val="20"/>
                <w:color w:val="auto"/>
              </w:rPr>
            </w:pPr>
            <w:r>
              <w:rPr>
                <w:rFonts w:ascii="Arial" w:cs="Arial" w:eastAsia="Arial" w:hAnsi="Arial"/>
                <w:sz w:val="23"/>
                <w:szCs w:val="23"/>
                <w:b w:val="1"/>
                <w:bCs w:val="1"/>
                <w:color w:val="auto"/>
              </w:rPr>
              <w:t>Corporate Headquarters</w:t>
            </w:r>
          </w:p>
        </w:tc>
        <w:tc>
          <w:tcPr>
            <w:tcW w:w="0" w:type="dxa"/>
            <w:vAlign w:val="bottom"/>
          </w:tcPr>
          <w:p>
            <w:pPr>
              <w:spacing w:after="0"/>
              <w:rPr>
                <w:sz w:val="1"/>
                <w:szCs w:val="1"/>
                <w:color w:val="auto"/>
              </w:rPr>
            </w:pPr>
          </w:p>
        </w:tc>
      </w:tr>
      <w:tr>
        <w:trPr>
          <w:trHeight w:val="267"/>
        </w:trPr>
        <w:tc>
          <w:tcPr>
            <w:tcW w:w="3740" w:type="dxa"/>
            <w:vAlign w:val="bottom"/>
          </w:tcPr>
          <w:p>
            <w:pPr>
              <w:spacing w:after="0"/>
              <w:rPr>
                <w:sz w:val="23"/>
                <w:szCs w:val="23"/>
                <w:color w:val="auto"/>
              </w:rPr>
            </w:pPr>
          </w:p>
        </w:tc>
        <w:tc>
          <w:tcPr>
            <w:tcW w:w="3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Todd D.C. Anderman, JD</w:t>
            </w:r>
          </w:p>
        </w:tc>
        <w:tc>
          <w:tcPr>
            <w:tcW w:w="3760" w:type="dxa"/>
            <w:vAlign w:val="bottom"/>
          </w:tcPr>
          <w:p>
            <w:pPr>
              <w:ind w:left="140"/>
              <w:spacing w:after="0"/>
              <w:rPr>
                <w:sz w:val="20"/>
                <w:szCs w:val="20"/>
                <w:color w:val="auto"/>
              </w:rPr>
            </w:pPr>
            <w:r>
              <w:rPr>
                <w:rFonts w:ascii="Arial" w:cs="Arial" w:eastAsia="Arial" w:hAnsi="Arial"/>
                <w:sz w:val="23"/>
                <w:szCs w:val="23"/>
                <w:color w:val="auto"/>
              </w:rPr>
              <w:t>14 Crosby Drive, 3rd Floor,</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0"/>
                <w:szCs w:val="20"/>
                <w:color w:val="auto"/>
              </w:rPr>
            </w:pPr>
            <w:r>
              <w:rPr>
                <w:rFonts w:ascii="Arial" w:cs="Arial" w:eastAsia="Arial" w:hAnsi="Arial"/>
                <w:sz w:val="23"/>
                <w:szCs w:val="23"/>
                <w:color w:val="auto"/>
              </w:rPr>
              <w:t>Chief Legal O?icer</w:t>
            </w:r>
          </w:p>
        </w:tc>
        <w:tc>
          <w:tcPr>
            <w:tcW w:w="3760" w:type="dxa"/>
            <w:vAlign w:val="bottom"/>
          </w:tcPr>
          <w:p>
            <w:pPr>
              <w:ind w:left="140"/>
              <w:spacing w:after="0"/>
              <w:rPr>
                <w:sz w:val="20"/>
                <w:szCs w:val="20"/>
                <w:color w:val="auto"/>
              </w:rPr>
            </w:pPr>
            <w:r>
              <w:rPr>
                <w:rFonts w:ascii="Arial" w:cs="Arial" w:eastAsia="Arial" w:hAnsi="Arial"/>
                <w:sz w:val="23"/>
                <w:szCs w:val="23"/>
                <w:color w:val="auto"/>
              </w:rPr>
              <w:t>Bedford, MA 01730</w:t>
            </w:r>
          </w:p>
        </w:tc>
        <w:tc>
          <w:tcPr>
            <w:tcW w:w="0" w:type="dxa"/>
            <w:vAlign w:val="bottom"/>
          </w:tcPr>
          <w:p>
            <w:pPr>
              <w:spacing w:after="0"/>
              <w:rPr>
                <w:sz w:val="1"/>
                <w:szCs w:val="1"/>
                <w:color w:val="auto"/>
              </w:rPr>
            </w:pPr>
          </w:p>
        </w:tc>
      </w:tr>
      <w:tr>
        <w:trPr>
          <w:trHeight w:val="295"/>
        </w:trPr>
        <w:tc>
          <w:tcPr>
            <w:tcW w:w="3740" w:type="dxa"/>
            <w:vAlign w:val="bottom"/>
          </w:tcPr>
          <w:p>
            <w:pPr>
              <w:spacing w:after="0"/>
              <w:rPr>
                <w:sz w:val="20"/>
                <w:szCs w:val="20"/>
                <w:color w:val="auto"/>
              </w:rPr>
            </w:pPr>
            <w:r>
              <w:rPr>
                <w:rFonts w:ascii="Arial" w:cs="Arial" w:eastAsia="Arial" w:hAnsi="Arial"/>
                <w:sz w:val="23"/>
                <w:szCs w:val="23"/>
                <w:color w:val="auto"/>
              </w:rPr>
              <w:t>Corporate Secretary</w:t>
            </w:r>
          </w:p>
        </w:tc>
        <w:tc>
          <w:tcPr>
            <w:tcW w:w="3760" w:type="dxa"/>
            <w:vAlign w:val="bottom"/>
            <w:vMerge w:val="restart"/>
          </w:tcPr>
          <w:p>
            <w:pPr>
              <w:ind w:left="140"/>
              <w:spacing w:after="0"/>
              <w:rPr>
                <w:sz w:val="20"/>
                <w:szCs w:val="20"/>
                <w:color w:val="auto"/>
              </w:rPr>
            </w:pPr>
            <w:r>
              <w:rPr>
                <w:rFonts w:ascii="Arial" w:cs="Arial" w:eastAsia="Arial" w:hAnsi="Arial"/>
                <w:sz w:val="23"/>
                <w:szCs w:val="23"/>
                <w:b w:val="1"/>
                <w:bCs w:val="1"/>
                <w:color w:val="auto"/>
              </w:rPr>
              <w:t>Research &amp; Development</w:t>
            </w:r>
          </w:p>
        </w:tc>
        <w:tc>
          <w:tcPr>
            <w:tcW w:w="0" w:type="dxa"/>
            <w:vAlign w:val="bottom"/>
          </w:tcPr>
          <w:p>
            <w:pPr>
              <w:spacing w:after="0"/>
              <w:rPr>
                <w:sz w:val="1"/>
                <w:szCs w:val="1"/>
                <w:color w:val="auto"/>
              </w:rPr>
            </w:pPr>
          </w:p>
        </w:tc>
      </w:tr>
      <w:tr>
        <w:trPr>
          <w:trHeight w:val="267"/>
        </w:trPr>
        <w:tc>
          <w:tcPr>
            <w:tcW w:w="3740" w:type="dxa"/>
            <w:vAlign w:val="bottom"/>
          </w:tcPr>
          <w:p>
            <w:pPr>
              <w:spacing w:after="0"/>
              <w:rPr>
                <w:sz w:val="23"/>
                <w:szCs w:val="23"/>
                <w:color w:val="auto"/>
              </w:rPr>
            </w:pPr>
          </w:p>
        </w:tc>
        <w:tc>
          <w:tcPr>
            <w:tcW w:w="3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color w:val="auto"/>
              </w:rPr>
              <w:t>15 Crosby Drive</w:t>
            </w:r>
          </w:p>
        </w:tc>
        <w:tc>
          <w:tcPr>
            <w:tcW w:w="0" w:type="dxa"/>
            <w:vAlign w:val="bottom"/>
          </w:tcPr>
          <w:p>
            <w:pPr>
              <w:spacing w:after="0"/>
              <w:rPr>
                <w:sz w:val="1"/>
                <w:szCs w:val="1"/>
                <w:color w:val="auto"/>
              </w:rPr>
            </w:pPr>
          </w:p>
        </w:tc>
      </w:tr>
      <w:tr>
        <w:trPr>
          <w:trHeight w:val="295"/>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color w:val="auto"/>
              </w:rPr>
              <w:t>Bedford, MA 01730</w:t>
            </w:r>
          </w:p>
        </w:tc>
        <w:tc>
          <w:tcPr>
            <w:tcW w:w="0" w:type="dxa"/>
            <w:vAlign w:val="bottom"/>
          </w:tcPr>
          <w:p>
            <w:pPr>
              <w:spacing w:after="0"/>
              <w:rPr>
                <w:sz w:val="1"/>
                <w:szCs w:val="1"/>
                <w:color w:val="auto"/>
              </w:rPr>
            </w:pPr>
          </w:p>
        </w:tc>
      </w:tr>
      <w:tr>
        <w:trPr>
          <w:trHeight w:val="549"/>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b w:val="1"/>
                <w:bCs w:val="1"/>
                <w:color w:val="auto"/>
              </w:rPr>
              <w:t>Manufacturing Facility</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color w:val="auto"/>
              </w:rPr>
              <w:t>36 Crosby Drive</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color w:val="auto"/>
              </w:rPr>
              <w:t>Suite 101</w:t>
            </w:r>
          </w:p>
        </w:tc>
        <w:tc>
          <w:tcPr>
            <w:tcW w:w="0" w:type="dxa"/>
            <w:vAlign w:val="bottom"/>
          </w:tcPr>
          <w:p>
            <w:pPr>
              <w:spacing w:after="0"/>
              <w:rPr>
                <w:sz w:val="1"/>
                <w:szCs w:val="1"/>
                <w:color w:val="auto"/>
              </w:rPr>
            </w:pPr>
          </w:p>
        </w:tc>
      </w:tr>
      <w:tr>
        <w:trPr>
          <w:trHeight w:val="295"/>
        </w:trPr>
        <w:tc>
          <w:tcPr>
            <w:tcW w:w="3740" w:type="dxa"/>
            <w:vAlign w:val="bottom"/>
          </w:tcPr>
          <w:p>
            <w:pPr>
              <w:spacing w:after="0"/>
              <w:rPr>
                <w:sz w:val="24"/>
                <w:szCs w:val="24"/>
                <w:color w:val="auto"/>
              </w:rPr>
            </w:pPr>
          </w:p>
        </w:tc>
        <w:tc>
          <w:tcPr>
            <w:tcW w:w="3760" w:type="dxa"/>
            <w:vAlign w:val="bottom"/>
          </w:tcPr>
          <w:p>
            <w:pPr>
              <w:ind w:left="140"/>
              <w:spacing w:after="0"/>
              <w:rPr>
                <w:sz w:val="20"/>
                <w:szCs w:val="20"/>
                <w:color w:val="auto"/>
              </w:rPr>
            </w:pPr>
            <w:r>
              <w:rPr>
                <w:rFonts w:ascii="Arial" w:cs="Arial" w:eastAsia="Arial" w:hAnsi="Arial"/>
                <w:sz w:val="23"/>
                <w:szCs w:val="23"/>
                <w:color w:val="auto"/>
              </w:rPr>
              <w:t>Bedford, MA 01730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Investor Relations</w:t>
      </w:r>
    </w:p>
    <w:p>
      <w:pPr>
        <w:spacing w:after="0" w:line="16" w:lineRule="exact"/>
        <w:rPr>
          <w:sz w:val="20"/>
          <w:szCs w:val="20"/>
          <w:color w:val="auto"/>
        </w:rPr>
      </w:pPr>
    </w:p>
    <w:p>
      <w:pPr>
        <w:spacing w:after="0"/>
        <w:rPr>
          <w:sz w:val="20"/>
          <w:szCs w:val="20"/>
          <w:color w:val="auto"/>
        </w:rPr>
      </w:pPr>
      <w:r>
        <w:rPr>
          <w:rFonts w:ascii="Arial" w:cs="Arial" w:eastAsia="Arial" w:hAnsi="Arial"/>
          <w:sz w:val="23"/>
          <w:szCs w:val="23"/>
          <w:color w:val="auto"/>
        </w:rPr>
        <w:t>Bill Slattery, Jr.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w:t>
      </w:r>
    </w:p>
    <w:p>
      <w:pPr>
        <w:spacing w:after="0" w:line="3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 Listings</w:t>
      </w:r>
    </w:p>
    <w:p>
      <w:pPr>
        <w:spacing w:after="0" w:line="17" w:lineRule="exact"/>
        <w:rPr>
          <w:sz w:val="20"/>
          <w:szCs w:val="20"/>
          <w:color w:val="auto"/>
        </w:rPr>
      </w:pPr>
    </w:p>
    <w:p>
      <w:pPr>
        <w:spacing w:after="0"/>
        <w:rPr>
          <w:sz w:val="20"/>
          <w:szCs w:val="20"/>
          <w:color w:val="auto"/>
        </w:rPr>
      </w:pPr>
      <w:r>
        <w:rPr>
          <w:rFonts w:ascii="Arial" w:cs="Arial" w:eastAsia="Arial" w:hAnsi="Arial"/>
          <w:sz w:val="23"/>
          <w:szCs w:val="23"/>
          <w:color w:val="auto"/>
        </w:rPr>
        <w:t>Nasdaq: OCUL</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Auditors</w:t>
      </w:r>
    </w:p>
    <w:p>
      <w:pPr>
        <w:spacing w:after="0" w:line="17" w:lineRule="exact"/>
        <w:rPr>
          <w:sz w:val="20"/>
          <w:szCs w:val="20"/>
          <w:color w:val="auto"/>
        </w:rPr>
      </w:pPr>
    </w:p>
    <w:p>
      <w:pPr>
        <w:spacing w:after="0"/>
        <w:rPr>
          <w:sz w:val="20"/>
          <w:szCs w:val="20"/>
          <w:color w:val="auto"/>
        </w:rPr>
      </w:pPr>
      <w:r>
        <w:rPr>
          <w:rFonts w:ascii="Arial" w:cs="Arial" w:eastAsia="Arial" w:hAnsi="Arial"/>
          <w:sz w:val="23"/>
          <w:szCs w:val="23"/>
          <w:color w:val="auto"/>
        </w:rPr>
        <w:t>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23"/>
          <w:szCs w:val="23"/>
          <w:color w:val="auto"/>
        </w:rPr>
        <w:t>101 Seaport Blvd. Suite 500</w:t>
      </w:r>
    </w:p>
    <w:p>
      <w:pPr>
        <w:spacing w:after="0" w:line="17" w:lineRule="exact"/>
        <w:rPr>
          <w:sz w:val="20"/>
          <w:szCs w:val="20"/>
          <w:color w:val="auto"/>
        </w:rPr>
      </w:pPr>
    </w:p>
    <w:p>
      <w:pPr>
        <w:spacing w:after="0"/>
        <w:rPr>
          <w:sz w:val="20"/>
          <w:szCs w:val="20"/>
          <w:color w:val="auto"/>
        </w:rPr>
      </w:pPr>
      <w:r>
        <w:rPr>
          <w:rFonts w:ascii="Arial" w:cs="Arial" w:eastAsia="Arial" w:hAnsi="Arial"/>
          <w:sz w:val="23"/>
          <w:szCs w:val="23"/>
          <w:color w:val="auto"/>
        </w:rPr>
        <w:t>Boston, MA 02210</w:t>
      </w:r>
    </w:p>
    <w:p>
      <w:pPr>
        <w:spacing w:after="0" w:line="17" w:lineRule="exact"/>
        <w:rPr>
          <w:sz w:val="20"/>
          <w:szCs w:val="20"/>
          <w:color w:val="auto"/>
        </w:rPr>
      </w:pPr>
    </w:p>
    <w:p>
      <w:pPr>
        <w:spacing w:after="0"/>
        <w:rPr>
          <w:sz w:val="20"/>
          <w:szCs w:val="20"/>
          <w:color w:val="auto"/>
        </w:rPr>
      </w:pPr>
      <w:r>
        <w:rPr>
          <w:rFonts w:ascii="Arial" w:cs="Arial" w:eastAsia="Arial" w:hAnsi="Arial"/>
          <w:sz w:val="23"/>
          <w:szCs w:val="23"/>
          <w:color w:val="auto"/>
        </w:rPr>
        <w:t>617-530-5000</w:t>
      </w:r>
    </w:p>
    <w:p>
      <w:pPr>
        <w:spacing w:after="0" w:line="298" w:lineRule="exact"/>
        <w:rPr>
          <w:sz w:val="20"/>
          <w:szCs w:val="20"/>
          <w:color w:val="auto"/>
        </w:rPr>
      </w:pPr>
    </w:p>
    <w:p>
      <w:pPr>
        <w:ind w:right="1340"/>
        <w:spacing w:after="0" w:line="281" w:lineRule="auto"/>
        <w:rPr>
          <w:sz w:val="20"/>
          <w:szCs w:val="20"/>
          <w:color w:val="auto"/>
        </w:rPr>
      </w:pPr>
      <w:r>
        <w:rPr>
          <w:rFonts w:ascii="Arial" w:cs="Arial" w:eastAsia="Arial" w:hAnsi="Arial"/>
          <w:sz w:val="21"/>
          <w:szCs w:val="21"/>
          <w:b w:val="1"/>
          <w:bCs w:val="1"/>
          <w:color w:val="auto"/>
        </w:rPr>
        <w:t xml:space="preserve">Corporate Counsel </w:t>
      </w:r>
      <w:r>
        <w:rPr>
          <w:rFonts w:ascii="Arial" w:cs="Arial" w:eastAsia="Arial" w:hAnsi="Arial"/>
          <w:sz w:val="21"/>
          <w:szCs w:val="21"/>
          <w:color w:val="auto"/>
        </w:rPr>
        <w:t>WilmerHale</w:t>
      </w:r>
    </w:p>
    <w:p>
      <w:pPr>
        <w:spacing w:after="0" w:line="1" w:lineRule="exact"/>
        <w:rPr>
          <w:sz w:val="20"/>
          <w:szCs w:val="20"/>
          <w:color w:val="auto"/>
        </w:rPr>
      </w:pPr>
    </w:p>
    <w:p>
      <w:pPr>
        <w:ind w:right="1520"/>
        <w:spacing w:after="0" w:line="305" w:lineRule="auto"/>
        <w:rPr>
          <w:sz w:val="20"/>
          <w:szCs w:val="20"/>
          <w:color w:val="auto"/>
        </w:rPr>
      </w:pPr>
      <w:r>
        <w:rPr>
          <w:rFonts w:ascii="Arial" w:cs="Arial" w:eastAsia="Arial" w:hAnsi="Arial"/>
          <w:sz w:val="21"/>
          <w:szCs w:val="21"/>
          <w:color w:val="auto"/>
        </w:rPr>
        <w:t>60 State Street Boston, MA 02109 617-526-6000</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23"/>
          <w:szCs w:val="23"/>
          <w:b w:val="1"/>
          <w:bCs w:val="1"/>
          <w:color w:val="auto"/>
        </w:rPr>
        <w:t xml:space="preserve">Stock Transfer Agent </w:t>
      </w:r>
      <w:r>
        <w:rPr>
          <w:rFonts w:ascii="Arial" w:cs="Arial" w:eastAsia="Arial" w:hAnsi="Arial"/>
          <w:sz w:val="23"/>
          <w:szCs w:val="23"/>
          <w:color w:val="auto"/>
        </w:rPr>
        <w:t>Computershare Investor Services P.O. Box 505000</w:t>
      </w:r>
    </w:p>
    <w:p>
      <w:pPr>
        <w:ind w:right="1360"/>
        <w:spacing w:after="0" w:line="332" w:lineRule="auto"/>
        <w:rPr>
          <w:sz w:val="20"/>
          <w:szCs w:val="20"/>
          <w:color w:val="auto"/>
        </w:rPr>
      </w:pPr>
      <w:r>
        <w:rPr>
          <w:rFonts w:ascii="Arial" w:cs="Arial" w:eastAsia="Arial" w:hAnsi="Arial"/>
          <w:sz w:val="21"/>
          <w:szCs w:val="21"/>
          <w:color w:val="auto"/>
        </w:rPr>
        <w:t>Louisville, KY 40233 800-736-3001</w:t>
      </w:r>
    </w:p>
    <w:p>
      <w:pPr>
        <w:sectPr>
          <w:pgSz w:w="11880" w:h="15480" w:orient="portrait"/>
          <w:cols w:equalWidth="0" w:num="2">
            <w:col w:w="7500" w:space="280"/>
            <w:col w:w="3320"/>
          </w:cols>
          <w:pgMar w:left="420" w:top="1440" w:right="360" w:bottom="1440" w:gutter="0" w:footer="0" w:header="0"/>
        </w:sectPr>
      </w:pPr>
    </w:p>
    <w:bookmarkStart w:id="183" w:name="page184"/>
    <w:bookmarkEnd w:id="18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lowerRoman"/>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1)"/>
      <w:numFmt w:val="lowerRoman"/>
      <w:start w:val="3"/>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lowerRoman"/>
      <w:start w:val="1"/>
    </w:lvl>
    <w:lvl w:ilvl="1">
      <w:lvlJc w:val="left"/>
      <w:lvlText w:val="%2"/>
      <w:numFmt w:val="lowerRoman"/>
      <w:start w:val="1"/>
    </w:lvl>
  </w:abstractNum>
  <w:abstractNum w:abstractNumId="60">
    <w:nsid w:val="579BE4F1"/>
    <w:multiLevelType w:val="hybridMultilevel"/>
    <w:lvl w:ilvl="0">
      <w:lvlJc w:val="left"/>
      <w:lvlText w:val="(%1)"/>
      <w:numFmt w:val="lowerRoman"/>
      <w:start w:val="3"/>
    </w:lvl>
    <w:lvl w:ilvl="1">
      <w:lvlJc w:val="left"/>
      <w:lvlText w:val="%2"/>
      <w:numFmt w:val="lowerRoman"/>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decimal"/>
      <w:start w:val="9"/>
    </w:lvl>
  </w:abstractNum>
  <w:abstractNum w:abstractNumId="64">
    <w:nsid w:val="25A70BF7"/>
    <w:multiLevelType w:val="hybridMultilevel"/>
    <w:lvl w:ilvl="0">
      <w:lvlJc w:val="left"/>
      <w:lvlText w:val="%1."/>
      <w:numFmt w:val="decimal"/>
      <w:start w:val="12"/>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2026-05-02T21:36:18Z</dcterms:created>
  <dcterms:modified xsi:type="dcterms:W3CDTF">2026-05-02T21:36:18Z</dcterms:modified>
</cp:coreProperties>
</file>